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05849" w14:textId="6E6C6A40" w:rsidR="000E3FCC" w:rsidRPr="002F1F9B" w:rsidRDefault="000E3FCC" w:rsidP="000E3FCC">
      <w:pPr>
        <w:rPr>
          <w:rFonts w:ascii="Verdana" w:hAnsi="Verdana"/>
          <w:b/>
          <w:bCs/>
          <w:szCs w:val="22"/>
          <w:lang w:val="en-GB"/>
        </w:rPr>
      </w:pPr>
      <w:r w:rsidRPr="002F1F9B">
        <w:rPr>
          <w:rFonts w:ascii="Verdana" w:hAnsi="Verdana"/>
          <w:b/>
          <w:bCs/>
          <w:szCs w:val="22"/>
          <w:lang w:val="en-GB"/>
        </w:rPr>
        <w:t xml:space="preserve">Annex </w:t>
      </w:r>
      <w:r w:rsidR="0047363C">
        <w:rPr>
          <w:rFonts w:ascii="Verdana" w:hAnsi="Verdana"/>
          <w:b/>
          <w:bCs/>
          <w:szCs w:val="22"/>
          <w:lang w:val="en-GB"/>
        </w:rPr>
        <w:t>I</w:t>
      </w:r>
      <w:bookmarkStart w:id="0" w:name="_GoBack"/>
      <w:bookmarkEnd w:id="0"/>
      <w:r w:rsidR="00AB4C56">
        <w:rPr>
          <w:rFonts w:ascii="Verdana" w:hAnsi="Verdana"/>
          <w:b/>
          <w:bCs/>
          <w:szCs w:val="22"/>
          <w:lang w:val="en-GB"/>
        </w:rPr>
        <w:t>V</w:t>
      </w:r>
      <w:r w:rsidRPr="002F1F9B">
        <w:rPr>
          <w:rFonts w:ascii="Verdana" w:hAnsi="Verdana"/>
          <w:b/>
          <w:bCs/>
          <w:szCs w:val="22"/>
          <w:lang w:val="en-GB"/>
        </w:rPr>
        <w:t xml:space="preserve"> – Life &amp; Health SLT underwriting risk Structured template Instructions</w:t>
      </w:r>
    </w:p>
    <w:p w14:paraId="2E3C470C" w14:textId="77777777" w:rsidR="00F11506" w:rsidRPr="002F1F9B" w:rsidRDefault="00F11506">
      <w:pPr>
        <w:rPr>
          <w:b/>
          <w:bCs/>
          <w:sz w:val="20"/>
          <w:lang w:val="en-GB"/>
        </w:rPr>
      </w:pPr>
    </w:p>
    <w:p w14:paraId="2E3C470D" w14:textId="77777777" w:rsidR="00AB34F5" w:rsidRPr="002F1F9B" w:rsidRDefault="00D87D85">
      <w:pPr>
        <w:rPr>
          <w:b/>
          <w:bCs/>
          <w:sz w:val="20"/>
          <w:lang w:val="en-GB"/>
        </w:rPr>
      </w:pPr>
      <w:r w:rsidRPr="002F1F9B">
        <w:rPr>
          <w:b/>
          <w:bCs/>
          <w:sz w:val="20"/>
          <w:lang w:val="en-GB"/>
        </w:rPr>
        <w:t xml:space="preserve">INTERNAL MODEL: </w:t>
      </w:r>
      <w:r w:rsidR="00B826E6" w:rsidRPr="002F1F9B">
        <w:rPr>
          <w:b/>
          <w:bCs/>
          <w:sz w:val="20"/>
          <w:lang w:val="en-GB"/>
        </w:rPr>
        <w:t xml:space="preserve">LIFE </w:t>
      </w:r>
      <w:r w:rsidR="007000E3" w:rsidRPr="002F1F9B">
        <w:rPr>
          <w:b/>
          <w:bCs/>
          <w:sz w:val="20"/>
          <w:lang w:val="en-GB"/>
        </w:rPr>
        <w:t xml:space="preserve">and HEALTH </w:t>
      </w:r>
      <w:r w:rsidR="0075114F" w:rsidRPr="002F1F9B">
        <w:rPr>
          <w:b/>
          <w:bCs/>
          <w:sz w:val="20"/>
          <w:lang w:val="en-GB"/>
        </w:rPr>
        <w:t xml:space="preserve">SLT </w:t>
      </w:r>
      <w:r w:rsidR="00B826E6" w:rsidRPr="002F1F9B">
        <w:rPr>
          <w:b/>
          <w:bCs/>
          <w:sz w:val="20"/>
          <w:lang w:val="en-GB"/>
        </w:rPr>
        <w:t>UNDERWRITING</w:t>
      </w:r>
      <w:r w:rsidRPr="002F1F9B">
        <w:rPr>
          <w:b/>
          <w:bCs/>
          <w:sz w:val="20"/>
          <w:lang w:val="en-GB"/>
        </w:rPr>
        <w:t xml:space="preserve"> RISK</w:t>
      </w:r>
    </w:p>
    <w:p w14:paraId="2E3C470F" w14:textId="0A632661" w:rsidR="00D41EB7" w:rsidRPr="002F1F9B" w:rsidRDefault="00D41EB7">
      <w:pPr>
        <w:rPr>
          <w:b/>
          <w:bCs/>
          <w:sz w:val="20"/>
          <w:lang w:val="en-GB"/>
        </w:rPr>
      </w:pPr>
    </w:p>
    <w:p w14:paraId="2E3C4710" w14:textId="77777777" w:rsidR="00AB34F5" w:rsidRPr="002F1F9B" w:rsidRDefault="00FD7633">
      <w:pPr>
        <w:rPr>
          <w:b/>
          <w:bCs/>
          <w:sz w:val="20"/>
          <w:lang w:val="en-GB"/>
        </w:rPr>
      </w:pPr>
      <w:r w:rsidRPr="002F1F9B">
        <w:rPr>
          <w:b/>
          <w:bCs/>
          <w:sz w:val="20"/>
          <w:lang w:val="en-GB"/>
        </w:rPr>
        <w:t>General comments:</w:t>
      </w:r>
    </w:p>
    <w:p w14:paraId="2E3C4711" w14:textId="2F57CDDA" w:rsidR="00624212" w:rsidRPr="002F1F9B" w:rsidRDefault="004E3C77" w:rsidP="002A4CB0">
      <w:pPr>
        <w:rPr>
          <w:sz w:val="20"/>
          <w:lang w:val="en-GB"/>
        </w:rPr>
      </w:pPr>
      <w:r w:rsidRPr="002F1F9B">
        <w:rPr>
          <w:sz w:val="20"/>
          <w:lang w:val="en-GB"/>
        </w:rPr>
        <w:t>In this template</w:t>
      </w:r>
      <w:r w:rsidR="00FC1164" w:rsidRPr="002F1F9B">
        <w:rPr>
          <w:sz w:val="20"/>
          <w:lang w:val="en-GB"/>
        </w:rPr>
        <w:t>,</w:t>
      </w:r>
      <w:r w:rsidRPr="002F1F9B">
        <w:rPr>
          <w:sz w:val="20"/>
          <w:lang w:val="en-GB"/>
        </w:rPr>
        <w:t xml:space="preserve"> </w:t>
      </w:r>
      <w:r w:rsidR="008E2CA9" w:rsidRPr="002F1F9B">
        <w:rPr>
          <w:sz w:val="20"/>
          <w:lang w:val="en-GB"/>
        </w:rPr>
        <w:t>th</w:t>
      </w:r>
      <w:r w:rsidRPr="002F1F9B">
        <w:rPr>
          <w:sz w:val="20"/>
          <w:lang w:val="en-GB"/>
        </w:rPr>
        <w:t xml:space="preserve">e results of </w:t>
      </w:r>
      <w:r w:rsidR="00FC1164" w:rsidRPr="002F1F9B">
        <w:rPr>
          <w:sz w:val="20"/>
          <w:lang w:val="en-GB"/>
        </w:rPr>
        <w:t xml:space="preserve">internal </w:t>
      </w:r>
      <w:r w:rsidRPr="002F1F9B">
        <w:rPr>
          <w:sz w:val="20"/>
          <w:lang w:val="en-GB"/>
        </w:rPr>
        <w:t xml:space="preserve">models </w:t>
      </w:r>
      <w:r w:rsidR="00BE1207" w:rsidRPr="002F1F9B">
        <w:rPr>
          <w:sz w:val="20"/>
          <w:lang w:val="en-GB"/>
        </w:rPr>
        <w:t>for Life and</w:t>
      </w:r>
      <w:r w:rsidRPr="002F1F9B">
        <w:rPr>
          <w:sz w:val="20"/>
          <w:lang w:val="en-GB"/>
        </w:rPr>
        <w:t xml:space="preserve"> Health SLT </w:t>
      </w:r>
      <w:r w:rsidR="005E5B66" w:rsidRPr="002F1F9B">
        <w:rPr>
          <w:sz w:val="20"/>
          <w:lang w:val="en-GB"/>
        </w:rPr>
        <w:t>underwriting ris</w:t>
      </w:r>
      <w:r w:rsidR="00BE1207" w:rsidRPr="002F1F9B">
        <w:rPr>
          <w:sz w:val="20"/>
          <w:lang w:val="en-GB"/>
        </w:rPr>
        <w:t>k</w:t>
      </w:r>
      <w:r w:rsidRPr="002F1F9B">
        <w:rPr>
          <w:sz w:val="20"/>
          <w:lang w:val="en-GB"/>
        </w:rPr>
        <w:t xml:space="preserve"> are reported. If insurers also integrate Health NSLT </w:t>
      </w:r>
      <w:r w:rsidR="00BE1207" w:rsidRPr="002F1F9B">
        <w:rPr>
          <w:sz w:val="20"/>
          <w:lang w:val="en-GB"/>
        </w:rPr>
        <w:t>underwriting risk</w:t>
      </w:r>
      <w:r w:rsidRPr="002F1F9B">
        <w:rPr>
          <w:sz w:val="20"/>
          <w:lang w:val="en-GB"/>
        </w:rPr>
        <w:t xml:space="preserve"> in the Life + Health SLT </w:t>
      </w:r>
      <w:r w:rsidR="00BE1207" w:rsidRPr="002F1F9B">
        <w:rPr>
          <w:sz w:val="20"/>
          <w:lang w:val="en-GB"/>
        </w:rPr>
        <w:t xml:space="preserve">underwriting risk </w:t>
      </w:r>
      <w:r w:rsidRPr="002F1F9B">
        <w:rPr>
          <w:sz w:val="20"/>
          <w:lang w:val="en-GB"/>
        </w:rPr>
        <w:t>model</w:t>
      </w:r>
      <w:r w:rsidR="00FC1164" w:rsidRPr="002F1F9B">
        <w:rPr>
          <w:sz w:val="20"/>
          <w:lang w:val="en-GB"/>
        </w:rPr>
        <w:t xml:space="preserve"> </w:t>
      </w:r>
      <w:r w:rsidRPr="002F1F9B">
        <w:rPr>
          <w:sz w:val="20"/>
          <w:lang w:val="en-GB"/>
        </w:rPr>
        <w:t>structure, the results of the Health NSLT model should also be reported in this template.</w:t>
      </w:r>
    </w:p>
    <w:p w14:paraId="155A3E69" w14:textId="77777777" w:rsidR="00946E79" w:rsidRPr="002F1F9B" w:rsidRDefault="00946E79" w:rsidP="002A4CB0">
      <w:pPr>
        <w:rPr>
          <w:sz w:val="20"/>
          <w:lang w:val="en-GB"/>
        </w:rPr>
      </w:pPr>
    </w:p>
    <w:p w14:paraId="2E3C4713" w14:textId="6AF4DF0C" w:rsidR="004E3C77" w:rsidRPr="002F1F9B" w:rsidRDefault="004E3C77" w:rsidP="002A4CB0">
      <w:pPr>
        <w:rPr>
          <w:sz w:val="20"/>
          <w:lang w:val="en-GB"/>
        </w:rPr>
      </w:pPr>
      <w:r w:rsidRPr="002F1F9B">
        <w:rPr>
          <w:sz w:val="20"/>
          <w:lang w:val="en-GB"/>
        </w:rPr>
        <w:t>Depend</w:t>
      </w:r>
      <w:r w:rsidR="00610DA1" w:rsidRPr="002F1F9B">
        <w:rPr>
          <w:sz w:val="20"/>
          <w:lang w:val="en-GB"/>
        </w:rPr>
        <w:t>ing on</w:t>
      </w:r>
      <w:r w:rsidRPr="002F1F9B">
        <w:rPr>
          <w:sz w:val="20"/>
          <w:lang w:val="en-GB"/>
        </w:rPr>
        <w:t xml:space="preserve"> the structure of Life </w:t>
      </w:r>
      <w:r w:rsidR="007041EF" w:rsidRPr="002F1F9B">
        <w:rPr>
          <w:sz w:val="20"/>
          <w:lang w:val="en-GB"/>
        </w:rPr>
        <w:t xml:space="preserve">and Health SLT underwriting risk </w:t>
      </w:r>
      <w:r w:rsidRPr="002F1F9B">
        <w:rPr>
          <w:sz w:val="20"/>
          <w:lang w:val="en-GB"/>
        </w:rPr>
        <w:t>modelling</w:t>
      </w:r>
      <w:r w:rsidR="00610DA1" w:rsidRPr="002F1F9B">
        <w:rPr>
          <w:sz w:val="20"/>
          <w:lang w:val="en-GB"/>
        </w:rPr>
        <w:t>,</w:t>
      </w:r>
      <w:r w:rsidRPr="002F1F9B">
        <w:rPr>
          <w:sz w:val="20"/>
          <w:lang w:val="en-GB"/>
        </w:rPr>
        <w:t xml:space="preserve"> one of the </w:t>
      </w:r>
      <w:r w:rsidR="007041EF" w:rsidRPr="002F1F9B">
        <w:rPr>
          <w:sz w:val="20"/>
          <w:lang w:val="en-GB"/>
        </w:rPr>
        <w:t>two</w:t>
      </w:r>
      <w:r w:rsidRPr="002F1F9B">
        <w:rPr>
          <w:sz w:val="20"/>
          <w:lang w:val="en-GB"/>
        </w:rPr>
        <w:t xml:space="preserve"> blocks for </w:t>
      </w:r>
      <w:r w:rsidR="00A24AA6" w:rsidRPr="002F1F9B">
        <w:rPr>
          <w:sz w:val="20"/>
          <w:lang w:val="en-GB"/>
        </w:rPr>
        <w:t>longevity</w:t>
      </w:r>
      <w:r w:rsidR="00BC5D49" w:rsidRPr="002F1F9B">
        <w:rPr>
          <w:sz w:val="20"/>
          <w:lang w:val="en-GB"/>
        </w:rPr>
        <w:t xml:space="preserve"> and </w:t>
      </w:r>
      <w:r w:rsidR="00A24AA6" w:rsidRPr="002F1F9B">
        <w:rPr>
          <w:sz w:val="20"/>
          <w:lang w:val="en-GB"/>
        </w:rPr>
        <w:t xml:space="preserve">mortality </w:t>
      </w:r>
      <w:r w:rsidR="00BC5D49" w:rsidRPr="002F1F9B">
        <w:rPr>
          <w:sz w:val="20"/>
          <w:lang w:val="en-GB"/>
        </w:rPr>
        <w:t>risk should be used</w:t>
      </w:r>
      <w:r w:rsidRPr="002F1F9B">
        <w:rPr>
          <w:sz w:val="20"/>
          <w:lang w:val="en-GB"/>
        </w:rPr>
        <w:t>.</w:t>
      </w:r>
      <w:r w:rsidR="00365327" w:rsidRPr="002F1F9B">
        <w:rPr>
          <w:sz w:val="20"/>
          <w:lang w:val="en-GB"/>
        </w:rPr>
        <w:t xml:space="preserve"> If the internal model structure is such that Mortality and Longevity risk</w:t>
      </w:r>
      <w:r w:rsidR="00610DA1" w:rsidRPr="002F1F9B">
        <w:rPr>
          <w:sz w:val="20"/>
          <w:lang w:val="en-GB"/>
        </w:rPr>
        <w:t>s</w:t>
      </w:r>
      <w:r w:rsidR="00365327" w:rsidRPr="002F1F9B">
        <w:rPr>
          <w:sz w:val="20"/>
          <w:lang w:val="en-GB"/>
        </w:rPr>
        <w:t xml:space="preserve"> are modelled together</w:t>
      </w:r>
      <w:r w:rsidR="00610DA1" w:rsidRPr="002F1F9B">
        <w:rPr>
          <w:sz w:val="20"/>
          <w:lang w:val="en-GB"/>
        </w:rPr>
        <w:t>,</w:t>
      </w:r>
      <w:r w:rsidR="00365327" w:rsidRPr="002F1F9B">
        <w:rPr>
          <w:sz w:val="20"/>
          <w:lang w:val="en-GB"/>
        </w:rPr>
        <w:t xml:space="preserve"> then </w:t>
      </w:r>
      <w:r w:rsidR="0007338F" w:rsidRPr="002F1F9B">
        <w:rPr>
          <w:sz w:val="20"/>
          <w:lang w:val="en-GB"/>
        </w:rPr>
        <w:t xml:space="preserve">for these risks </w:t>
      </w:r>
      <w:proofErr w:type="gramStart"/>
      <w:r w:rsidR="00F80BAE">
        <w:rPr>
          <w:sz w:val="20"/>
          <w:lang w:val="en-GB"/>
        </w:rPr>
        <w:t xml:space="preserve">only </w:t>
      </w:r>
      <w:r w:rsidR="005E5B66" w:rsidRPr="002F1F9B">
        <w:rPr>
          <w:sz w:val="20"/>
          <w:lang w:val="en-GB"/>
        </w:rPr>
        <w:t xml:space="preserve"> </w:t>
      </w:r>
      <w:r w:rsidR="004B79BA" w:rsidRPr="002F1F9B">
        <w:rPr>
          <w:sz w:val="20"/>
          <w:lang w:val="en-GB"/>
        </w:rPr>
        <w:t>R2</w:t>
      </w:r>
      <w:r w:rsidR="00F80BAE">
        <w:rPr>
          <w:sz w:val="20"/>
          <w:lang w:val="en-GB"/>
        </w:rPr>
        <w:t>7</w:t>
      </w:r>
      <w:proofErr w:type="gramEnd"/>
      <w:r w:rsidR="00365327" w:rsidRPr="002F1F9B">
        <w:rPr>
          <w:sz w:val="20"/>
          <w:lang w:val="en-GB"/>
        </w:rPr>
        <w:t xml:space="preserve"> where these risks are combined</w:t>
      </w:r>
      <w:r w:rsidR="005E5B66" w:rsidRPr="002F1F9B">
        <w:rPr>
          <w:sz w:val="20"/>
          <w:lang w:val="en-GB"/>
        </w:rPr>
        <w:t>,</w:t>
      </w:r>
      <w:r w:rsidR="00365327" w:rsidRPr="002F1F9B">
        <w:rPr>
          <w:sz w:val="20"/>
          <w:lang w:val="en-GB"/>
        </w:rPr>
        <w:t xml:space="preserve"> shall be reported.</w:t>
      </w:r>
    </w:p>
    <w:p w14:paraId="2E3C4714" w14:textId="6B9FD534" w:rsidR="000C3E5C" w:rsidRPr="002F1F9B" w:rsidRDefault="000C3E5C" w:rsidP="000C3E5C">
      <w:pPr>
        <w:rPr>
          <w:sz w:val="20"/>
          <w:highlight w:val="yellow"/>
          <w:lang w:val="en-GB"/>
        </w:rPr>
      </w:pPr>
    </w:p>
    <w:p w14:paraId="6DC31324" w14:textId="20CEE0AC" w:rsidR="008E2CA9" w:rsidRPr="002F1F9B" w:rsidRDefault="0007338F" w:rsidP="000C3E5C">
      <w:pPr>
        <w:rPr>
          <w:sz w:val="20"/>
          <w:highlight w:val="yellow"/>
          <w:lang w:val="en-GB"/>
        </w:rPr>
      </w:pPr>
      <w:r w:rsidRPr="002F1F9B">
        <w:rPr>
          <w:sz w:val="20"/>
          <w:lang w:val="en-GB"/>
        </w:rPr>
        <w:t>In general, if cells cannot be sensibly</w:t>
      </w:r>
      <w:r w:rsidR="005E5B66" w:rsidRPr="002F1F9B">
        <w:rPr>
          <w:sz w:val="20"/>
          <w:lang w:val="en-GB"/>
        </w:rPr>
        <w:t xml:space="preserve"> reported an al</w:t>
      </w:r>
      <w:r w:rsidRPr="002F1F9B">
        <w:rPr>
          <w:sz w:val="20"/>
          <w:lang w:val="en-GB"/>
        </w:rPr>
        <w:t>tern</w:t>
      </w:r>
      <w:r w:rsidR="005E5B66" w:rsidRPr="002F1F9B">
        <w:rPr>
          <w:sz w:val="20"/>
          <w:lang w:val="en-GB"/>
        </w:rPr>
        <w:t>a</w:t>
      </w:r>
      <w:r w:rsidRPr="002F1F9B">
        <w:rPr>
          <w:sz w:val="20"/>
          <w:lang w:val="en-GB"/>
        </w:rPr>
        <w:t xml:space="preserve">tive should be selected. For </w:t>
      </w:r>
      <w:proofErr w:type="spellStart"/>
      <w:r w:rsidRPr="002F1F9B">
        <w:rPr>
          <w:sz w:val="20"/>
          <w:lang w:val="en-GB"/>
        </w:rPr>
        <w:t>exampke</w:t>
      </w:r>
      <w:proofErr w:type="spellEnd"/>
      <w:r w:rsidRPr="002F1F9B">
        <w:rPr>
          <w:sz w:val="20"/>
          <w:lang w:val="en-GB"/>
        </w:rPr>
        <w:t>, i</w:t>
      </w:r>
      <w:r w:rsidR="008E2CA9" w:rsidRPr="002F1F9B">
        <w:rPr>
          <w:sz w:val="20"/>
          <w:lang w:val="en-GB"/>
        </w:rPr>
        <w:t xml:space="preserve">f </w:t>
      </w:r>
      <w:r w:rsidRPr="002F1F9B">
        <w:rPr>
          <w:sz w:val="20"/>
          <w:lang w:val="en-GB"/>
        </w:rPr>
        <w:t xml:space="preserve">an </w:t>
      </w:r>
      <w:r w:rsidR="008E2CA9" w:rsidRPr="002F1F9B">
        <w:rPr>
          <w:sz w:val="20"/>
          <w:lang w:val="en-GB"/>
        </w:rPr>
        <w:t>undertaking cannot separate trend, level or volatility model</w:t>
      </w:r>
      <w:r w:rsidR="00610DA1" w:rsidRPr="002F1F9B">
        <w:rPr>
          <w:sz w:val="20"/>
          <w:lang w:val="en-GB"/>
        </w:rPr>
        <w:t>l</w:t>
      </w:r>
      <w:r w:rsidR="008E2CA9" w:rsidRPr="002F1F9B">
        <w:rPr>
          <w:sz w:val="20"/>
          <w:lang w:val="en-GB"/>
        </w:rPr>
        <w:t xml:space="preserve">ing within a submodule, then information </w:t>
      </w:r>
      <w:r w:rsidRPr="002F1F9B">
        <w:rPr>
          <w:sz w:val="20"/>
          <w:lang w:val="en-GB"/>
        </w:rPr>
        <w:t xml:space="preserve">should be provided </w:t>
      </w:r>
      <w:r w:rsidR="008E2CA9" w:rsidRPr="002F1F9B">
        <w:rPr>
          <w:sz w:val="20"/>
          <w:lang w:val="en-GB"/>
        </w:rPr>
        <w:t xml:space="preserve">at the </w:t>
      </w:r>
      <w:r w:rsidRPr="002F1F9B">
        <w:rPr>
          <w:sz w:val="20"/>
          <w:lang w:val="en-GB"/>
        </w:rPr>
        <w:t xml:space="preserve">corresponding </w:t>
      </w:r>
      <w:r w:rsidR="008E2CA9" w:rsidRPr="002F1F9B">
        <w:rPr>
          <w:sz w:val="20"/>
          <w:lang w:val="en-GB"/>
        </w:rPr>
        <w:t>aggregate level.</w:t>
      </w:r>
    </w:p>
    <w:p w14:paraId="2E3C4715" w14:textId="77777777" w:rsidR="00B1296D" w:rsidRPr="002F1F9B" w:rsidRDefault="00B1296D">
      <w:pPr>
        <w:rPr>
          <w:bCs/>
          <w:sz w:val="20"/>
          <w:lang w:val="en-GB"/>
        </w:rPr>
      </w:pPr>
    </w:p>
    <w:tbl>
      <w:tblPr>
        <w:tblW w:w="9782" w:type="dxa"/>
        <w:tblInd w:w="-318" w:type="dxa"/>
        <w:tblLook w:val="04A0" w:firstRow="1" w:lastRow="0" w:firstColumn="1" w:lastColumn="0" w:noHBand="0" w:noVBand="1"/>
      </w:tblPr>
      <w:tblGrid>
        <w:gridCol w:w="2683"/>
        <w:gridCol w:w="2338"/>
        <w:gridCol w:w="4761"/>
      </w:tblGrid>
      <w:tr w:rsidR="00490467" w:rsidRPr="002F1F9B" w14:paraId="2E3C4719" w14:textId="77777777" w:rsidTr="00C24BEC">
        <w:trPr>
          <w:trHeight w:val="315"/>
        </w:trPr>
        <w:tc>
          <w:tcPr>
            <w:tcW w:w="2683" w:type="dxa"/>
            <w:tcBorders>
              <w:top w:val="single" w:sz="8" w:space="0" w:color="auto"/>
              <w:left w:val="single" w:sz="8" w:space="0" w:color="auto"/>
              <w:bottom w:val="single" w:sz="8" w:space="0" w:color="auto"/>
              <w:right w:val="single" w:sz="4" w:space="0" w:color="auto"/>
            </w:tcBorders>
            <w:shd w:val="clear" w:color="auto" w:fill="auto"/>
            <w:noWrap/>
            <w:hideMark/>
          </w:tcPr>
          <w:p w14:paraId="2E3C4716" w14:textId="77777777" w:rsidR="00B7385D" w:rsidRPr="002F1F9B" w:rsidRDefault="00B7385D" w:rsidP="00946E79">
            <w:pPr>
              <w:jc w:val="left"/>
              <w:rPr>
                <w:b/>
                <w:bCs/>
                <w:color w:val="000000"/>
                <w:sz w:val="20"/>
                <w:lang w:val="en-GB" w:eastAsia="en-GB"/>
              </w:rPr>
            </w:pPr>
            <w:r w:rsidRPr="002F1F9B">
              <w:rPr>
                <w:b/>
                <w:bCs/>
                <w:color w:val="000000"/>
                <w:sz w:val="20"/>
                <w:lang w:val="en-GB" w:eastAsia="en-GB"/>
              </w:rPr>
              <w:t>CODE</w:t>
            </w:r>
          </w:p>
        </w:tc>
        <w:tc>
          <w:tcPr>
            <w:tcW w:w="0" w:type="auto"/>
            <w:tcBorders>
              <w:top w:val="single" w:sz="8" w:space="0" w:color="auto"/>
              <w:left w:val="nil"/>
              <w:bottom w:val="single" w:sz="8" w:space="0" w:color="auto"/>
              <w:right w:val="single" w:sz="4" w:space="0" w:color="auto"/>
            </w:tcBorders>
            <w:shd w:val="clear" w:color="auto" w:fill="auto"/>
            <w:hideMark/>
          </w:tcPr>
          <w:p w14:paraId="2E3C4717" w14:textId="77777777" w:rsidR="00B7385D" w:rsidRPr="002F1F9B" w:rsidRDefault="00B7385D" w:rsidP="00946E79">
            <w:pPr>
              <w:jc w:val="left"/>
              <w:rPr>
                <w:b/>
                <w:bCs/>
                <w:color w:val="000000"/>
                <w:sz w:val="20"/>
                <w:lang w:val="en-GB" w:eastAsia="en-GB"/>
              </w:rPr>
            </w:pPr>
            <w:r w:rsidRPr="002F1F9B">
              <w:rPr>
                <w:b/>
                <w:bCs/>
                <w:color w:val="000000"/>
                <w:sz w:val="20"/>
                <w:lang w:val="en-GB" w:eastAsia="en-GB"/>
              </w:rPr>
              <w:t xml:space="preserve">ITEM </w:t>
            </w:r>
          </w:p>
        </w:tc>
        <w:tc>
          <w:tcPr>
            <w:tcW w:w="4761" w:type="dxa"/>
            <w:tcBorders>
              <w:top w:val="single" w:sz="8" w:space="0" w:color="auto"/>
              <w:left w:val="nil"/>
              <w:bottom w:val="single" w:sz="8" w:space="0" w:color="auto"/>
              <w:right w:val="single" w:sz="8" w:space="0" w:color="auto"/>
            </w:tcBorders>
            <w:shd w:val="clear" w:color="auto" w:fill="auto"/>
            <w:noWrap/>
            <w:hideMark/>
          </w:tcPr>
          <w:p w14:paraId="2E3C4718" w14:textId="77777777" w:rsidR="00B7385D" w:rsidRPr="002F1F9B" w:rsidRDefault="00B7385D" w:rsidP="00946E79">
            <w:pPr>
              <w:jc w:val="left"/>
              <w:rPr>
                <w:b/>
                <w:bCs/>
                <w:color w:val="000000"/>
                <w:sz w:val="20"/>
                <w:lang w:val="en-GB" w:eastAsia="en-GB"/>
              </w:rPr>
            </w:pPr>
            <w:r w:rsidRPr="002F1F9B">
              <w:rPr>
                <w:b/>
                <w:bCs/>
                <w:color w:val="000000"/>
                <w:sz w:val="20"/>
                <w:lang w:val="en-GB" w:eastAsia="en-GB"/>
              </w:rPr>
              <w:t>INSTRUCTIONS</w:t>
            </w:r>
          </w:p>
        </w:tc>
      </w:tr>
      <w:tr w:rsidR="00B7385D" w:rsidRPr="002F1F9B" w14:paraId="2E3C471B" w14:textId="77777777" w:rsidTr="00946E79">
        <w:trPr>
          <w:trHeight w:val="315"/>
        </w:trPr>
        <w:tc>
          <w:tcPr>
            <w:tcW w:w="9782" w:type="dxa"/>
            <w:gridSpan w:val="3"/>
            <w:tcBorders>
              <w:top w:val="nil"/>
              <w:left w:val="single" w:sz="8" w:space="0" w:color="auto"/>
              <w:bottom w:val="single" w:sz="8" w:space="0" w:color="auto"/>
              <w:right w:val="single" w:sz="8" w:space="0" w:color="000000"/>
            </w:tcBorders>
            <w:shd w:val="clear" w:color="auto" w:fill="auto"/>
            <w:noWrap/>
            <w:hideMark/>
          </w:tcPr>
          <w:p w14:paraId="2E3C471A" w14:textId="77777777" w:rsidR="00B7385D" w:rsidRPr="002F1F9B" w:rsidRDefault="00FD4AEB" w:rsidP="00B7385D">
            <w:pPr>
              <w:jc w:val="left"/>
              <w:rPr>
                <w:b/>
                <w:bCs/>
                <w:color w:val="000000"/>
                <w:sz w:val="20"/>
                <w:lang w:val="en-GB" w:eastAsia="en-GB"/>
              </w:rPr>
            </w:pPr>
            <w:r w:rsidRPr="002F1F9B">
              <w:rPr>
                <w:b/>
                <w:bCs/>
                <w:color w:val="000000"/>
                <w:sz w:val="20"/>
                <w:lang w:val="en-GB" w:eastAsia="en-GB"/>
              </w:rPr>
              <w:t>LIFE RISK</w:t>
            </w:r>
          </w:p>
        </w:tc>
      </w:tr>
      <w:tr w:rsidR="00BC524A" w:rsidRPr="002F1F9B" w14:paraId="2E3C4725" w14:textId="77777777" w:rsidTr="00C24BEC">
        <w:trPr>
          <w:trHeight w:val="900"/>
        </w:trPr>
        <w:tc>
          <w:tcPr>
            <w:tcW w:w="2683" w:type="dxa"/>
            <w:tcBorders>
              <w:top w:val="nil"/>
              <w:left w:val="single" w:sz="4" w:space="0" w:color="auto"/>
              <w:bottom w:val="single" w:sz="4" w:space="0" w:color="auto"/>
              <w:right w:val="single" w:sz="4" w:space="0" w:color="auto"/>
            </w:tcBorders>
            <w:shd w:val="clear" w:color="auto" w:fill="auto"/>
            <w:hideMark/>
          </w:tcPr>
          <w:p w14:paraId="2E3C471C" w14:textId="77777777" w:rsidR="00BC524A" w:rsidRPr="002F1F9B" w:rsidRDefault="00BC524A" w:rsidP="00BC524A">
            <w:pPr>
              <w:jc w:val="left"/>
              <w:rPr>
                <w:color w:val="000000"/>
                <w:sz w:val="20"/>
                <w:lang w:val="en-GB" w:eastAsia="en-GB"/>
              </w:rPr>
            </w:pPr>
            <w:r w:rsidRPr="002F1F9B">
              <w:rPr>
                <w:color w:val="000000"/>
                <w:sz w:val="20"/>
                <w:lang w:val="en-GB" w:eastAsia="en-GB"/>
              </w:rPr>
              <w:t>LH_LIF_EXP_</w:t>
            </w:r>
            <w:r w:rsidR="008503F4" w:rsidRPr="002F1F9B">
              <w:rPr>
                <w:color w:val="000000"/>
                <w:sz w:val="20"/>
                <w:lang w:val="en-GB" w:eastAsia="en-GB"/>
              </w:rPr>
              <w:t>Rxx_C1</w:t>
            </w:r>
          </w:p>
          <w:p w14:paraId="2E3C471D" w14:textId="75947123" w:rsidR="008503F4" w:rsidRPr="002F1F9B" w:rsidRDefault="008503F4" w:rsidP="008503F4">
            <w:pPr>
              <w:jc w:val="left"/>
              <w:rPr>
                <w:color w:val="000000"/>
                <w:sz w:val="20"/>
                <w:lang w:val="en-GB" w:eastAsia="en-GB"/>
              </w:rPr>
            </w:pPr>
            <w:r w:rsidRPr="002F1F9B">
              <w:rPr>
                <w:color w:val="000000"/>
                <w:sz w:val="20"/>
                <w:lang w:val="en-GB" w:eastAsia="en-GB"/>
              </w:rPr>
              <w:t>LH_LIF_APO_R11_</w:t>
            </w:r>
            <w:r w:rsidR="00E569BB" w:rsidRPr="002F1F9B">
              <w:rPr>
                <w:color w:val="000000"/>
                <w:sz w:val="20"/>
                <w:lang w:val="en-GB" w:eastAsia="en-GB"/>
              </w:rPr>
              <w:t>C1</w:t>
            </w:r>
          </w:p>
          <w:p w14:paraId="2E3C471E" w14:textId="780F8929" w:rsidR="008503F4" w:rsidRPr="002F1F9B" w:rsidRDefault="008503F4" w:rsidP="008503F4">
            <w:pPr>
              <w:jc w:val="left"/>
              <w:rPr>
                <w:color w:val="000000"/>
                <w:sz w:val="20"/>
                <w:lang w:val="en-GB" w:eastAsia="en-GB"/>
              </w:rPr>
            </w:pPr>
            <w:r w:rsidRPr="002F1F9B">
              <w:rPr>
                <w:color w:val="000000"/>
                <w:sz w:val="20"/>
                <w:lang w:val="en-GB" w:eastAsia="en-GB"/>
              </w:rPr>
              <w:t>LH_LIF_ANPO_R11_</w:t>
            </w:r>
            <w:r w:rsidR="00E569BB" w:rsidRPr="002F1F9B">
              <w:rPr>
                <w:color w:val="000000"/>
                <w:sz w:val="20"/>
                <w:lang w:val="en-GB" w:eastAsia="en-GB"/>
              </w:rPr>
              <w:t>C2</w:t>
            </w:r>
          </w:p>
          <w:p w14:paraId="2E3C471F" w14:textId="77777777" w:rsidR="00BC524A" w:rsidRPr="002F1F9B" w:rsidRDefault="00BC524A" w:rsidP="00BC524A">
            <w:pPr>
              <w:jc w:val="left"/>
              <w:rPr>
                <w:color w:val="000000"/>
                <w:sz w:val="20"/>
                <w:lang w:val="en-GB" w:eastAsia="en-GB"/>
              </w:rPr>
            </w:pPr>
          </w:p>
          <w:p w14:paraId="2E3C4720" w14:textId="43C267AE" w:rsidR="00BC524A" w:rsidRPr="002F1F9B" w:rsidRDefault="009955D3" w:rsidP="003620F9">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1, 6,</w:t>
            </w:r>
            <w:r w:rsidR="00BC524A" w:rsidRPr="002F1F9B">
              <w:rPr>
                <w:color w:val="000000"/>
                <w:sz w:val="20"/>
                <w:lang w:val="en-GB" w:eastAsia="en-GB"/>
              </w:rPr>
              <w:t xml:space="preserve"> </w:t>
            </w:r>
            <w:r w:rsidR="003620F9" w:rsidRPr="002F1F9B">
              <w:rPr>
                <w:color w:val="000000"/>
                <w:sz w:val="20"/>
                <w:lang w:val="en-GB" w:eastAsia="en-GB"/>
              </w:rPr>
              <w:t>11</w:t>
            </w:r>
            <w:r w:rsidR="001E0D71" w:rsidRPr="002F1F9B">
              <w:rPr>
                <w:color w:val="000000"/>
                <w:sz w:val="20"/>
                <w:lang w:val="en-GB" w:eastAsia="en-GB"/>
              </w:rPr>
              <w:t>,</w:t>
            </w:r>
            <w:r w:rsidR="003307D2" w:rsidRPr="002F1F9B">
              <w:rPr>
                <w:color w:val="000000"/>
                <w:sz w:val="20"/>
                <w:lang w:val="en-GB" w:eastAsia="en-GB"/>
              </w:rPr>
              <w:t xml:space="preserve"> </w:t>
            </w:r>
            <w:r w:rsidR="003620F9" w:rsidRPr="002F1F9B">
              <w:rPr>
                <w:color w:val="000000"/>
                <w:sz w:val="20"/>
                <w:lang w:val="en-GB" w:eastAsia="en-GB"/>
              </w:rPr>
              <w:t>25, 27</w:t>
            </w:r>
            <w:r w:rsidR="003307D2" w:rsidRPr="002F1F9B">
              <w:rPr>
                <w:color w:val="000000"/>
                <w:sz w:val="20"/>
                <w:lang w:val="en-GB" w:eastAsia="en-GB"/>
              </w:rPr>
              <w:t xml:space="preserve"> (if </w:t>
            </w:r>
            <w:r w:rsidR="003307D2" w:rsidRPr="000C40A7">
              <w:rPr>
                <w:color w:val="FF0000"/>
                <w:sz w:val="20"/>
                <w:lang w:val="en-GB" w:eastAsia="en-GB"/>
              </w:rPr>
              <w:t>R2</w:t>
            </w:r>
            <w:r w:rsidR="00F80BAE">
              <w:rPr>
                <w:color w:val="FF0000"/>
                <w:sz w:val="20"/>
                <w:lang w:val="en-GB" w:eastAsia="en-GB"/>
              </w:rPr>
              <w:t>7</w:t>
            </w:r>
            <w:r w:rsidR="003E7A81" w:rsidRPr="002F1F9B">
              <w:rPr>
                <w:color w:val="000000"/>
                <w:sz w:val="20"/>
                <w:lang w:val="en-GB" w:eastAsia="en-GB"/>
              </w:rPr>
              <w:t xml:space="preserve"> is reported then R1 – Mortality – and R6 – Longevity – shall not be reported)</w:t>
            </w:r>
          </w:p>
        </w:tc>
        <w:tc>
          <w:tcPr>
            <w:tcW w:w="0" w:type="auto"/>
            <w:tcBorders>
              <w:top w:val="nil"/>
              <w:left w:val="nil"/>
              <w:bottom w:val="single" w:sz="4" w:space="0" w:color="auto"/>
              <w:right w:val="single" w:sz="4" w:space="0" w:color="auto"/>
            </w:tcBorders>
            <w:shd w:val="clear" w:color="auto" w:fill="auto"/>
            <w:hideMark/>
          </w:tcPr>
          <w:p w14:paraId="2E3C4721" w14:textId="77777777" w:rsidR="00BC524A" w:rsidRPr="002F1F9B" w:rsidRDefault="00BC524A" w:rsidP="00BC524A">
            <w:pPr>
              <w:jc w:val="left"/>
              <w:rPr>
                <w:color w:val="000000"/>
                <w:sz w:val="20"/>
                <w:lang w:val="en-GB" w:eastAsia="en-GB"/>
              </w:rPr>
            </w:pPr>
            <w:r w:rsidRPr="002F1F9B">
              <w:rPr>
                <w:color w:val="000000"/>
                <w:sz w:val="20"/>
                <w:lang w:val="en-GB" w:eastAsia="en-GB"/>
              </w:rPr>
              <w:t>Net Best Estimate liability + Technical provisions calculated as a whole</w:t>
            </w:r>
          </w:p>
        </w:tc>
        <w:tc>
          <w:tcPr>
            <w:tcW w:w="4761" w:type="dxa"/>
            <w:tcBorders>
              <w:top w:val="nil"/>
              <w:left w:val="nil"/>
              <w:bottom w:val="single" w:sz="4" w:space="0" w:color="auto"/>
              <w:right w:val="single" w:sz="4" w:space="0" w:color="auto"/>
            </w:tcBorders>
            <w:shd w:val="clear" w:color="auto" w:fill="auto"/>
            <w:hideMark/>
          </w:tcPr>
          <w:p w14:paraId="11B3B689" w14:textId="4E7CCA39" w:rsidR="006C39CF" w:rsidRPr="002F1F9B" w:rsidRDefault="006C39CF" w:rsidP="006C39CF">
            <w:pPr>
              <w:rPr>
                <w:sz w:val="20"/>
                <w:lang w:val="en-GB"/>
              </w:rPr>
            </w:pPr>
            <w:r w:rsidRPr="002F1F9B">
              <w:rPr>
                <w:sz w:val="20"/>
                <w:lang w:val="en-GB"/>
              </w:rPr>
              <w:t>Best estimate shall be reported net of reinsurance and refers to the products of the life insurance portfolio that are sensitive to the relevant risk category. TP</w:t>
            </w:r>
            <w:r w:rsidR="00E569BB" w:rsidRPr="002F1F9B">
              <w:rPr>
                <w:sz w:val="20"/>
                <w:lang w:val="en-GB"/>
              </w:rPr>
              <w:t>s</w:t>
            </w:r>
            <w:r w:rsidRPr="002F1F9B">
              <w:rPr>
                <w:sz w:val="20"/>
                <w:lang w:val="en-GB"/>
              </w:rPr>
              <w:t xml:space="preserve"> calculated as a whole should be taken in as well.</w:t>
            </w:r>
          </w:p>
          <w:p w14:paraId="2E3C4724" w14:textId="6985A758" w:rsidR="00BC524A" w:rsidRPr="002F1F9B" w:rsidRDefault="0003282E" w:rsidP="00946E79">
            <w:pPr>
              <w:rPr>
                <w:sz w:val="20"/>
                <w:lang w:val="en-GB"/>
              </w:rPr>
            </w:pPr>
            <w:r w:rsidRPr="002F1F9B">
              <w:rPr>
                <w:sz w:val="20"/>
                <w:lang w:val="en-GB"/>
              </w:rPr>
              <w:t>The split for disability-morbidity risk aggregate refers to annuities paid out (“APO”) or not (“ANPO”).</w:t>
            </w:r>
          </w:p>
        </w:tc>
      </w:tr>
      <w:tr w:rsidR="00BC524A" w:rsidRPr="002F1F9B" w14:paraId="2E3C472C" w14:textId="77777777" w:rsidTr="00C24BEC">
        <w:trPr>
          <w:trHeight w:val="636"/>
        </w:trPr>
        <w:tc>
          <w:tcPr>
            <w:tcW w:w="2683" w:type="dxa"/>
            <w:tcBorders>
              <w:top w:val="nil"/>
              <w:left w:val="single" w:sz="4" w:space="0" w:color="auto"/>
              <w:bottom w:val="single" w:sz="4" w:space="0" w:color="auto"/>
              <w:right w:val="single" w:sz="4" w:space="0" w:color="auto"/>
            </w:tcBorders>
            <w:shd w:val="clear" w:color="auto" w:fill="auto"/>
            <w:noWrap/>
            <w:hideMark/>
          </w:tcPr>
          <w:p w14:paraId="2E3C4726" w14:textId="77777777" w:rsidR="00BC524A" w:rsidRPr="002F1F9B" w:rsidRDefault="00BC524A" w:rsidP="00BC524A">
            <w:pPr>
              <w:jc w:val="left"/>
              <w:rPr>
                <w:color w:val="000000"/>
                <w:sz w:val="20"/>
                <w:lang w:val="en-GB" w:eastAsia="en-GB"/>
              </w:rPr>
            </w:pPr>
            <w:r w:rsidRPr="002F1F9B">
              <w:rPr>
                <w:color w:val="000000"/>
                <w:sz w:val="20"/>
                <w:lang w:val="en-GB" w:eastAsia="en-GB"/>
              </w:rPr>
              <w:t>LH_LIF_EXP_Rxx_C3</w:t>
            </w:r>
          </w:p>
          <w:p w14:paraId="2E3C4727" w14:textId="77777777" w:rsidR="00BC524A" w:rsidRPr="002F1F9B" w:rsidRDefault="00BC524A" w:rsidP="00BC524A">
            <w:pPr>
              <w:jc w:val="left"/>
              <w:rPr>
                <w:color w:val="000000"/>
                <w:sz w:val="20"/>
                <w:lang w:val="en-GB" w:eastAsia="en-GB"/>
              </w:rPr>
            </w:pPr>
          </w:p>
          <w:p w14:paraId="2E3C4728" w14:textId="51A1814F" w:rsidR="00BC524A" w:rsidRPr="002F1F9B" w:rsidRDefault="00BC524A" w:rsidP="00BC524A">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1, 6, 11, 2</w:t>
            </w:r>
            <w:r w:rsidR="003620F9" w:rsidRPr="002F1F9B">
              <w:rPr>
                <w:color w:val="000000"/>
                <w:sz w:val="20"/>
                <w:lang w:val="en-GB" w:eastAsia="en-GB"/>
              </w:rPr>
              <w:t>0</w:t>
            </w:r>
            <w:r w:rsidR="003307D2" w:rsidRPr="002F1F9B">
              <w:rPr>
                <w:color w:val="000000"/>
                <w:sz w:val="20"/>
                <w:lang w:val="en-GB" w:eastAsia="en-GB"/>
              </w:rPr>
              <w:t xml:space="preserve">, 23 (if </w:t>
            </w:r>
            <w:r w:rsidR="003307D2" w:rsidRPr="000C40A7">
              <w:rPr>
                <w:color w:val="FF0000"/>
                <w:sz w:val="20"/>
                <w:lang w:val="en-GB" w:eastAsia="en-GB"/>
              </w:rPr>
              <w:t>R2</w:t>
            </w:r>
            <w:r w:rsidR="00F80BAE">
              <w:rPr>
                <w:color w:val="FF0000"/>
                <w:sz w:val="20"/>
                <w:lang w:val="en-GB" w:eastAsia="en-GB"/>
              </w:rPr>
              <w:t>7</w:t>
            </w:r>
            <w:r w:rsidR="003E7A81" w:rsidRPr="002F1F9B">
              <w:rPr>
                <w:color w:val="000000"/>
                <w:sz w:val="20"/>
                <w:lang w:val="en-GB" w:eastAsia="en-GB"/>
              </w:rPr>
              <w:t xml:space="preserve"> is reported then R1 – Mortality – and R6 – Longevity – shall not be reported)</w:t>
            </w:r>
          </w:p>
        </w:tc>
        <w:tc>
          <w:tcPr>
            <w:tcW w:w="0" w:type="auto"/>
            <w:tcBorders>
              <w:top w:val="nil"/>
              <w:left w:val="nil"/>
              <w:bottom w:val="single" w:sz="4" w:space="0" w:color="auto"/>
              <w:right w:val="single" w:sz="4" w:space="0" w:color="auto"/>
            </w:tcBorders>
            <w:shd w:val="clear" w:color="auto" w:fill="auto"/>
            <w:hideMark/>
          </w:tcPr>
          <w:p w14:paraId="2E3C4729" w14:textId="77777777" w:rsidR="00BC524A" w:rsidRPr="002F1F9B" w:rsidRDefault="00BC524A" w:rsidP="00BC524A">
            <w:pPr>
              <w:jc w:val="left"/>
              <w:rPr>
                <w:color w:val="000000"/>
                <w:sz w:val="20"/>
                <w:lang w:val="en-GB" w:eastAsia="en-GB"/>
              </w:rPr>
            </w:pPr>
            <w:r w:rsidRPr="002F1F9B">
              <w:rPr>
                <w:color w:val="000000"/>
                <w:sz w:val="20"/>
                <w:lang w:val="en-GB" w:eastAsia="en-GB"/>
              </w:rPr>
              <w:t>Net Written Premiums</w:t>
            </w:r>
          </w:p>
        </w:tc>
        <w:tc>
          <w:tcPr>
            <w:tcW w:w="4761" w:type="dxa"/>
            <w:tcBorders>
              <w:top w:val="nil"/>
              <w:left w:val="nil"/>
              <w:bottom w:val="single" w:sz="4" w:space="0" w:color="auto"/>
              <w:right w:val="single" w:sz="4" w:space="0" w:color="auto"/>
            </w:tcBorders>
            <w:shd w:val="clear" w:color="auto" w:fill="auto"/>
            <w:hideMark/>
          </w:tcPr>
          <w:p w14:paraId="2E3C472B" w14:textId="3BEA903C" w:rsidR="00BC524A" w:rsidRPr="002F1F9B" w:rsidRDefault="00BC524A" w:rsidP="00BC524A">
            <w:pPr>
              <w:jc w:val="left"/>
              <w:rPr>
                <w:sz w:val="20"/>
                <w:lang w:val="en-GB"/>
              </w:rPr>
            </w:pPr>
            <w:r w:rsidRPr="002F1F9B">
              <w:rPr>
                <w:color w:val="000000"/>
                <w:sz w:val="20"/>
                <w:lang w:val="en-GB" w:eastAsia="en-GB"/>
              </w:rPr>
              <w:t xml:space="preserve">The total of the written premiums </w:t>
            </w:r>
            <w:r w:rsidR="002F1F9B">
              <w:rPr>
                <w:color w:val="000000"/>
                <w:sz w:val="20"/>
                <w:lang w:val="en-GB" w:eastAsia="en-GB"/>
              </w:rPr>
              <w:t xml:space="preserve">net of reinsurance </w:t>
            </w:r>
            <w:r w:rsidRPr="002F1F9B">
              <w:rPr>
                <w:sz w:val="20"/>
                <w:lang w:val="en-GB"/>
              </w:rPr>
              <w:t xml:space="preserve">shall be reported </w:t>
            </w:r>
            <w:r w:rsidRPr="002F1F9B">
              <w:rPr>
                <w:color w:val="000000"/>
                <w:sz w:val="20"/>
                <w:lang w:val="en-GB" w:eastAsia="en-GB"/>
              </w:rPr>
              <w:t xml:space="preserve">for the </w:t>
            </w:r>
            <w:r w:rsidRPr="002F1F9B">
              <w:rPr>
                <w:sz w:val="20"/>
                <w:lang w:val="en-GB"/>
              </w:rPr>
              <w:t>products of the life insurance portfolio that are sensitive to the relevant risk category.</w:t>
            </w:r>
          </w:p>
        </w:tc>
      </w:tr>
      <w:tr w:rsidR="00BC524A" w:rsidRPr="002F1F9B" w14:paraId="2E3C4733" w14:textId="77777777" w:rsidTr="00C24BEC">
        <w:trPr>
          <w:trHeight w:val="661"/>
        </w:trPr>
        <w:tc>
          <w:tcPr>
            <w:tcW w:w="2683" w:type="dxa"/>
            <w:tcBorders>
              <w:top w:val="nil"/>
              <w:left w:val="single" w:sz="4" w:space="0" w:color="auto"/>
              <w:bottom w:val="single" w:sz="4" w:space="0" w:color="auto"/>
              <w:right w:val="single" w:sz="4" w:space="0" w:color="auto"/>
            </w:tcBorders>
            <w:shd w:val="clear" w:color="auto" w:fill="auto"/>
            <w:hideMark/>
          </w:tcPr>
          <w:p w14:paraId="2E3C472D" w14:textId="77777777" w:rsidR="00BC524A" w:rsidRPr="002F1F9B" w:rsidRDefault="00BC524A" w:rsidP="00BC524A">
            <w:pPr>
              <w:jc w:val="left"/>
              <w:rPr>
                <w:color w:val="000000"/>
                <w:sz w:val="20"/>
                <w:lang w:val="en-GB" w:eastAsia="en-GB"/>
              </w:rPr>
            </w:pPr>
            <w:r w:rsidRPr="002F1F9B">
              <w:rPr>
                <w:color w:val="000000"/>
                <w:sz w:val="20"/>
                <w:lang w:val="en-GB" w:eastAsia="en-GB"/>
              </w:rPr>
              <w:t>LH_LIF_EXP_Rxx_C4</w:t>
            </w:r>
          </w:p>
          <w:p w14:paraId="2E3C472E" w14:textId="77777777" w:rsidR="00BC524A" w:rsidRPr="002F1F9B" w:rsidRDefault="00BC524A" w:rsidP="00BC524A">
            <w:pPr>
              <w:jc w:val="left"/>
              <w:rPr>
                <w:color w:val="000000"/>
                <w:sz w:val="20"/>
                <w:lang w:val="en-GB" w:eastAsia="en-GB"/>
              </w:rPr>
            </w:pPr>
          </w:p>
          <w:p w14:paraId="2E3C472F" w14:textId="5959744A" w:rsidR="00BC524A" w:rsidRPr="002F1F9B" w:rsidRDefault="00BC524A" w:rsidP="00BC524A">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1, 6, 11, 2</w:t>
            </w:r>
            <w:r w:rsidR="0058698F" w:rsidRPr="002F1F9B">
              <w:rPr>
                <w:color w:val="000000"/>
                <w:sz w:val="20"/>
                <w:lang w:val="en-GB" w:eastAsia="en-GB"/>
              </w:rPr>
              <w:t>0</w:t>
            </w:r>
            <w:r w:rsidR="001E0D71" w:rsidRPr="002F1F9B">
              <w:rPr>
                <w:color w:val="000000"/>
                <w:sz w:val="20"/>
                <w:lang w:val="en-GB" w:eastAsia="en-GB"/>
              </w:rPr>
              <w:t>,</w:t>
            </w:r>
            <w:r w:rsidR="003307D2" w:rsidRPr="002F1F9B">
              <w:rPr>
                <w:color w:val="000000"/>
                <w:sz w:val="20"/>
                <w:lang w:val="en-GB" w:eastAsia="en-GB"/>
              </w:rPr>
              <w:t xml:space="preserve"> 23 (if </w:t>
            </w:r>
            <w:r w:rsidR="003307D2" w:rsidRPr="000C40A7">
              <w:rPr>
                <w:color w:val="FF0000"/>
                <w:sz w:val="20"/>
                <w:lang w:val="en-GB" w:eastAsia="en-GB"/>
              </w:rPr>
              <w:t>R2</w:t>
            </w:r>
            <w:r w:rsidR="00F80BAE">
              <w:rPr>
                <w:color w:val="FF0000"/>
                <w:sz w:val="20"/>
                <w:lang w:val="en-GB" w:eastAsia="en-GB"/>
              </w:rPr>
              <w:t>7</w:t>
            </w:r>
            <w:r w:rsidR="003E7A81" w:rsidRPr="002F1F9B">
              <w:rPr>
                <w:color w:val="000000"/>
                <w:sz w:val="20"/>
                <w:lang w:val="en-GB" w:eastAsia="en-GB"/>
              </w:rPr>
              <w:t xml:space="preserve"> is reported then R1 – Mortality – and R6 – Longevity – shall not be reported)</w:t>
            </w:r>
          </w:p>
        </w:tc>
        <w:tc>
          <w:tcPr>
            <w:tcW w:w="2338" w:type="dxa"/>
            <w:tcBorders>
              <w:top w:val="nil"/>
              <w:left w:val="nil"/>
              <w:bottom w:val="single" w:sz="4" w:space="0" w:color="auto"/>
              <w:right w:val="single" w:sz="4" w:space="0" w:color="auto"/>
            </w:tcBorders>
            <w:shd w:val="clear" w:color="auto" w:fill="auto"/>
            <w:hideMark/>
          </w:tcPr>
          <w:p w14:paraId="2E3C4730" w14:textId="77777777" w:rsidR="00BC524A" w:rsidRPr="002F1F9B" w:rsidRDefault="00BC524A" w:rsidP="00BC524A">
            <w:pPr>
              <w:jc w:val="left"/>
              <w:rPr>
                <w:color w:val="000000"/>
                <w:sz w:val="20"/>
                <w:lang w:val="en-GB" w:eastAsia="en-GB"/>
              </w:rPr>
            </w:pPr>
            <w:r w:rsidRPr="002F1F9B">
              <w:rPr>
                <w:color w:val="000000"/>
                <w:sz w:val="20"/>
                <w:lang w:val="en-GB" w:eastAsia="en-GB"/>
              </w:rPr>
              <w:t>Sum insured</w:t>
            </w:r>
          </w:p>
        </w:tc>
        <w:tc>
          <w:tcPr>
            <w:tcW w:w="4761" w:type="dxa"/>
            <w:tcBorders>
              <w:top w:val="single" w:sz="4" w:space="0" w:color="auto"/>
              <w:left w:val="nil"/>
              <w:bottom w:val="single" w:sz="4" w:space="0" w:color="auto"/>
              <w:right w:val="single" w:sz="4" w:space="0" w:color="auto"/>
            </w:tcBorders>
            <w:shd w:val="clear" w:color="auto" w:fill="auto"/>
            <w:noWrap/>
            <w:hideMark/>
          </w:tcPr>
          <w:p w14:paraId="2E3C4732" w14:textId="36FD6ABD" w:rsidR="00BC524A" w:rsidRPr="002F1F9B" w:rsidRDefault="00BC524A" w:rsidP="00BC524A">
            <w:pPr>
              <w:jc w:val="left"/>
              <w:rPr>
                <w:sz w:val="20"/>
                <w:lang w:val="en-GB"/>
              </w:rPr>
            </w:pPr>
            <w:r w:rsidRPr="002F1F9B">
              <w:rPr>
                <w:color w:val="000000"/>
                <w:sz w:val="20"/>
                <w:lang w:val="en-GB" w:eastAsia="en-GB"/>
              </w:rPr>
              <w:t xml:space="preserve">The total sum insured </w:t>
            </w:r>
            <w:r w:rsidRPr="002F1F9B">
              <w:rPr>
                <w:sz w:val="20"/>
                <w:lang w:val="en-GB"/>
              </w:rPr>
              <w:t xml:space="preserve">shall be reported </w:t>
            </w:r>
            <w:r w:rsidRPr="002F1F9B">
              <w:rPr>
                <w:color w:val="000000"/>
                <w:sz w:val="20"/>
                <w:lang w:val="en-GB" w:eastAsia="en-GB"/>
              </w:rPr>
              <w:t xml:space="preserve">for the </w:t>
            </w:r>
            <w:r w:rsidRPr="002F1F9B">
              <w:rPr>
                <w:sz w:val="20"/>
                <w:lang w:val="en-GB"/>
              </w:rPr>
              <w:t>products of the life insurance portfolio that are sensitive to the relevant risk category.</w:t>
            </w:r>
          </w:p>
        </w:tc>
      </w:tr>
      <w:tr w:rsidR="00BC524A" w:rsidRPr="002F1F9B" w14:paraId="2E3C473B"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34" w14:textId="77777777" w:rsidR="00BC524A" w:rsidRPr="002F1F9B" w:rsidRDefault="00BC524A" w:rsidP="00BC524A">
            <w:pPr>
              <w:jc w:val="left"/>
              <w:rPr>
                <w:color w:val="000000"/>
                <w:sz w:val="20"/>
                <w:lang w:val="en-GB" w:eastAsia="en-GB"/>
              </w:rPr>
            </w:pPr>
            <w:r w:rsidRPr="002F1F9B">
              <w:rPr>
                <w:color w:val="000000"/>
                <w:sz w:val="20"/>
                <w:lang w:val="en-GB" w:eastAsia="en-GB"/>
              </w:rPr>
              <w:t>LH_LIF_SCR_Rxx_C5</w:t>
            </w:r>
          </w:p>
          <w:p w14:paraId="2E3C4735" w14:textId="77777777" w:rsidR="00BC524A" w:rsidRPr="002F1F9B" w:rsidRDefault="00BC524A" w:rsidP="00BC524A">
            <w:pPr>
              <w:jc w:val="left"/>
              <w:rPr>
                <w:color w:val="000000"/>
                <w:sz w:val="20"/>
                <w:lang w:val="en-GB" w:eastAsia="en-GB"/>
              </w:rPr>
            </w:pPr>
          </w:p>
          <w:p w14:paraId="2E3C4736" w14:textId="3EA2ABA5" w:rsidR="00BC524A" w:rsidRPr="002F1F9B" w:rsidRDefault="003307D2" w:rsidP="003E7A81">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1 to 2</w:t>
            </w:r>
            <w:r w:rsidR="003620F9" w:rsidRPr="002F1F9B">
              <w:rPr>
                <w:color w:val="000000"/>
                <w:sz w:val="20"/>
                <w:lang w:val="en-GB" w:eastAsia="en-GB"/>
              </w:rPr>
              <w:t>7</w:t>
            </w:r>
            <w:r w:rsidRPr="002F1F9B">
              <w:rPr>
                <w:color w:val="000000"/>
                <w:sz w:val="20"/>
                <w:lang w:val="en-GB" w:eastAsia="en-GB"/>
              </w:rPr>
              <w:t xml:space="preserve"> (if </w:t>
            </w:r>
            <w:r w:rsidRPr="000C40A7">
              <w:rPr>
                <w:color w:val="FF0000"/>
                <w:sz w:val="20"/>
                <w:lang w:val="en-GB" w:eastAsia="en-GB"/>
              </w:rPr>
              <w:t>R2</w:t>
            </w:r>
            <w:r w:rsidR="00F80BAE">
              <w:rPr>
                <w:color w:val="FF0000"/>
                <w:sz w:val="20"/>
                <w:lang w:val="en-GB" w:eastAsia="en-GB"/>
              </w:rPr>
              <w:t>7</w:t>
            </w:r>
            <w:r w:rsidR="003E7A81" w:rsidRPr="002F1F9B">
              <w:rPr>
                <w:color w:val="000000"/>
                <w:sz w:val="20"/>
                <w:lang w:val="en-GB" w:eastAsia="en-GB"/>
              </w:rPr>
              <w:t xml:space="preserve"> is reported then R1 to R10 shall not be reported)</w:t>
            </w:r>
          </w:p>
        </w:tc>
        <w:tc>
          <w:tcPr>
            <w:tcW w:w="0" w:type="auto"/>
            <w:tcBorders>
              <w:top w:val="nil"/>
              <w:left w:val="nil"/>
              <w:bottom w:val="single" w:sz="4" w:space="0" w:color="auto"/>
              <w:right w:val="single" w:sz="4" w:space="0" w:color="auto"/>
            </w:tcBorders>
            <w:shd w:val="clear" w:color="auto" w:fill="auto"/>
          </w:tcPr>
          <w:p w14:paraId="2E3C4737" w14:textId="77777777" w:rsidR="00BC524A" w:rsidRPr="002F1F9B" w:rsidRDefault="00BC524A" w:rsidP="00BC524A">
            <w:pPr>
              <w:jc w:val="left"/>
              <w:rPr>
                <w:color w:val="000000"/>
                <w:sz w:val="20"/>
                <w:lang w:val="en-GB" w:eastAsia="en-GB"/>
              </w:rPr>
            </w:pPr>
            <w:r w:rsidRPr="002F1F9B">
              <w:rPr>
                <w:color w:val="000000"/>
                <w:sz w:val="20"/>
                <w:lang w:val="en-GB" w:eastAsia="en-GB"/>
              </w:rPr>
              <w:t>Solvency Capital Requirements</w:t>
            </w:r>
          </w:p>
        </w:tc>
        <w:tc>
          <w:tcPr>
            <w:tcW w:w="4761" w:type="dxa"/>
            <w:tcBorders>
              <w:top w:val="nil"/>
              <w:left w:val="nil"/>
              <w:bottom w:val="single" w:sz="4" w:space="0" w:color="auto"/>
              <w:right w:val="single" w:sz="4" w:space="0" w:color="auto"/>
            </w:tcBorders>
            <w:shd w:val="clear" w:color="auto" w:fill="auto"/>
          </w:tcPr>
          <w:p w14:paraId="40D0519B" w14:textId="019FBE66" w:rsidR="006C39CF" w:rsidRPr="002F1F9B" w:rsidRDefault="006C39CF" w:rsidP="006C39CF">
            <w:pPr>
              <w:jc w:val="left"/>
              <w:rPr>
                <w:sz w:val="20"/>
                <w:lang w:val="en-GB" w:eastAsia="en-GB"/>
              </w:rPr>
            </w:pPr>
            <w:r w:rsidRPr="002F1F9B">
              <w:rPr>
                <w:sz w:val="20"/>
                <w:lang w:val="en-GB" w:eastAsia="en-GB"/>
              </w:rPr>
              <w:t xml:space="preserve">The SCR for the relevant risk category, </w:t>
            </w:r>
            <w:r w:rsidR="0007338F" w:rsidRPr="002F1F9B">
              <w:rPr>
                <w:sz w:val="20"/>
                <w:lang w:val="en-GB" w:eastAsia="en-GB"/>
              </w:rPr>
              <w:t>net</w:t>
            </w:r>
            <w:r w:rsidRPr="002F1F9B">
              <w:rPr>
                <w:sz w:val="20"/>
                <w:lang w:val="en-GB" w:eastAsia="en-GB"/>
              </w:rPr>
              <w:t xml:space="preserve"> of reinsurance.</w:t>
            </w:r>
          </w:p>
          <w:p w14:paraId="6A0D4E2B" w14:textId="4939AD94" w:rsidR="009F17BB" w:rsidRPr="002F1F9B" w:rsidRDefault="009F17BB" w:rsidP="006C39CF">
            <w:pPr>
              <w:jc w:val="left"/>
              <w:rPr>
                <w:sz w:val="20"/>
                <w:lang w:val="en-GB" w:eastAsia="en-GB"/>
              </w:rPr>
            </w:pPr>
          </w:p>
          <w:p w14:paraId="44C4CFAC" w14:textId="3E0D4F35" w:rsidR="009F17BB" w:rsidRPr="002F1F9B" w:rsidRDefault="009F17BB" w:rsidP="006C39CF">
            <w:pPr>
              <w:jc w:val="left"/>
              <w:rPr>
                <w:sz w:val="20"/>
                <w:lang w:val="en-GB" w:eastAsia="en-GB"/>
              </w:rPr>
            </w:pPr>
            <w:r w:rsidRPr="002F1F9B">
              <w:rPr>
                <w:sz w:val="20"/>
                <w:lang w:val="en-GB" w:eastAsia="en-GB"/>
              </w:rPr>
              <w:t>The following explanations apply for C5 – C24:</w:t>
            </w:r>
          </w:p>
          <w:p w14:paraId="321DF5FF" w14:textId="68580048" w:rsidR="00BC524A" w:rsidRPr="002F1F9B" w:rsidRDefault="006C39CF" w:rsidP="000A7867">
            <w:pPr>
              <w:jc w:val="left"/>
              <w:rPr>
                <w:sz w:val="20"/>
                <w:lang w:val="en-GB" w:eastAsia="en-GB"/>
              </w:rPr>
            </w:pPr>
            <w:r w:rsidRPr="002F1F9B">
              <w:rPr>
                <w:sz w:val="20"/>
                <w:lang w:val="en-GB" w:eastAsia="en-GB"/>
              </w:rPr>
              <w:t>For the aggregate risks</w:t>
            </w:r>
            <w:r w:rsidR="00420F1E" w:rsidRPr="002F1F9B">
              <w:rPr>
                <w:sz w:val="20"/>
                <w:lang w:val="en-GB" w:eastAsia="en-GB"/>
              </w:rPr>
              <w:t>,</w:t>
            </w:r>
            <w:r w:rsidRPr="002F1F9B">
              <w:rPr>
                <w:sz w:val="20"/>
                <w:lang w:val="en-GB" w:eastAsia="en-GB"/>
              </w:rPr>
              <w:t xml:space="preserve"> the SCR after aggregation over the underlying sub</w:t>
            </w:r>
            <w:r w:rsidR="000A7867" w:rsidRPr="002F1F9B">
              <w:rPr>
                <w:sz w:val="20"/>
                <w:lang w:val="en-GB" w:eastAsia="en-GB"/>
              </w:rPr>
              <w:t>-risks</w:t>
            </w:r>
            <w:r w:rsidRPr="002F1F9B">
              <w:rPr>
                <w:sz w:val="20"/>
                <w:lang w:val="en-GB" w:eastAsia="en-GB"/>
              </w:rPr>
              <w:t xml:space="preserve"> should be reported. </w:t>
            </w:r>
          </w:p>
          <w:p w14:paraId="02235FFB" w14:textId="77777777" w:rsidR="003620F9" w:rsidRPr="002F1F9B" w:rsidRDefault="003620F9" w:rsidP="000A7867">
            <w:pPr>
              <w:jc w:val="left"/>
              <w:rPr>
                <w:sz w:val="20"/>
                <w:lang w:val="en-GB" w:eastAsia="en-GB"/>
              </w:rPr>
            </w:pPr>
            <w:r w:rsidRPr="002F1F9B">
              <w:rPr>
                <w:sz w:val="20"/>
                <w:lang w:val="en-GB" w:eastAsia="en-GB"/>
              </w:rPr>
              <w:t>For lapse risk the following applies:</w:t>
            </w:r>
          </w:p>
          <w:p w14:paraId="0D1DB879" w14:textId="77777777" w:rsidR="00290AAC" w:rsidRPr="002F1F9B" w:rsidRDefault="003620F9" w:rsidP="00290AAC">
            <w:pPr>
              <w:pStyle w:val="ListParagraph"/>
              <w:numPr>
                <w:ilvl w:val="0"/>
                <w:numId w:val="15"/>
              </w:numPr>
              <w:jc w:val="left"/>
              <w:rPr>
                <w:sz w:val="20"/>
                <w:lang w:val="en-GB" w:eastAsia="en-GB"/>
              </w:rPr>
            </w:pPr>
            <w:r w:rsidRPr="002F1F9B">
              <w:rPr>
                <w:sz w:val="20"/>
                <w:lang w:val="en-GB" w:eastAsia="en-GB"/>
              </w:rPr>
              <w:t xml:space="preserve">‘Lapse’ </w:t>
            </w:r>
            <w:r w:rsidR="00E01EB8" w:rsidRPr="002F1F9B">
              <w:rPr>
                <w:sz w:val="20"/>
                <w:lang w:val="en-GB" w:eastAsia="en-GB"/>
              </w:rPr>
              <w:t>covers exercising contractual options in a general sense.</w:t>
            </w:r>
            <w:r w:rsidRPr="002F1F9B">
              <w:rPr>
                <w:sz w:val="20"/>
                <w:lang w:val="en-GB" w:eastAsia="en-GB"/>
              </w:rPr>
              <w:t xml:space="preserve"> </w:t>
            </w:r>
          </w:p>
          <w:p w14:paraId="5AA11D4F" w14:textId="180D1B97" w:rsidR="00290AAC" w:rsidRPr="002F1F9B" w:rsidRDefault="00290AAC" w:rsidP="00290AAC">
            <w:pPr>
              <w:pStyle w:val="ListParagraph"/>
              <w:numPr>
                <w:ilvl w:val="0"/>
                <w:numId w:val="15"/>
              </w:numPr>
              <w:jc w:val="left"/>
              <w:rPr>
                <w:sz w:val="20"/>
                <w:lang w:val="en-GB" w:eastAsia="en-GB"/>
              </w:rPr>
            </w:pPr>
            <w:r w:rsidRPr="002F1F9B">
              <w:rPr>
                <w:sz w:val="20"/>
                <w:lang w:val="en-GB" w:eastAsia="en-GB"/>
              </w:rPr>
              <w:t>Risk of</w:t>
            </w:r>
            <w:r w:rsidR="003620F9" w:rsidRPr="002F1F9B">
              <w:rPr>
                <w:sz w:val="20"/>
                <w:lang w:val="en-GB" w:eastAsia="en-GB"/>
              </w:rPr>
              <w:t xml:space="preserve"> increase in lapse rates (R17) and decrease of lapse rates (R18) </w:t>
            </w:r>
            <w:r w:rsidRPr="002F1F9B">
              <w:rPr>
                <w:sz w:val="20"/>
                <w:lang w:val="en-GB" w:eastAsia="en-GB"/>
              </w:rPr>
              <w:t xml:space="preserve">are lapse risks other than mass lapse risk, where R17 </w:t>
            </w:r>
            <w:r w:rsidR="009F17BB" w:rsidRPr="002F1F9B">
              <w:rPr>
                <w:sz w:val="20"/>
                <w:lang w:val="en-GB" w:eastAsia="en-GB"/>
              </w:rPr>
              <w:t xml:space="preserve">(R18) </w:t>
            </w:r>
            <w:r w:rsidRPr="002F1F9B">
              <w:rPr>
                <w:sz w:val="20"/>
                <w:lang w:val="en-GB" w:eastAsia="en-GB"/>
              </w:rPr>
              <w:t xml:space="preserve">covers the part of the business leading </w:t>
            </w:r>
            <w:r w:rsidR="009F17BB" w:rsidRPr="002F1F9B">
              <w:rPr>
                <w:sz w:val="20"/>
                <w:lang w:val="en-GB" w:eastAsia="en-GB"/>
              </w:rPr>
              <w:t>to a loss if lapse rates increase (</w:t>
            </w:r>
            <w:proofErr w:type="spellStart"/>
            <w:r w:rsidR="009F17BB" w:rsidRPr="002F1F9B">
              <w:rPr>
                <w:sz w:val="20"/>
                <w:lang w:val="en-GB" w:eastAsia="en-GB"/>
              </w:rPr>
              <w:t>dercrease</w:t>
            </w:r>
            <w:proofErr w:type="spellEnd"/>
            <w:r w:rsidR="009F17BB" w:rsidRPr="002F1F9B">
              <w:rPr>
                <w:sz w:val="20"/>
                <w:lang w:val="en-GB" w:eastAsia="en-GB"/>
              </w:rPr>
              <w:t>) as defined in the internal model.</w:t>
            </w:r>
          </w:p>
          <w:p w14:paraId="26EB5D88" w14:textId="77777777" w:rsidR="00290AAC" w:rsidRPr="002F1F9B" w:rsidRDefault="00290AAC" w:rsidP="00290AAC">
            <w:pPr>
              <w:pStyle w:val="ListParagraph"/>
              <w:numPr>
                <w:ilvl w:val="0"/>
                <w:numId w:val="15"/>
              </w:numPr>
              <w:jc w:val="left"/>
              <w:rPr>
                <w:sz w:val="20"/>
                <w:lang w:val="en-GB" w:eastAsia="en-GB"/>
              </w:rPr>
            </w:pPr>
            <w:r w:rsidRPr="002F1F9B">
              <w:rPr>
                <w:sz w:val="20"/>
                <w:lang w:val="en-GB" w:eastAsia="en-GB"/>
              </w:rPr>
              <w:t>Risk of m</w:t>
            </w:r>
            <w:r w:rsidR="00E01EB8" w:rsidRPr="002F1F9B">
              <w:rPr>
                <w:sz w:val="20"/>
                <w:lang w:val="en-GB" w:eastAsia="en-GB"/>
              </w:rPr>
              <w:t xml:space="preserve">ass lapse (R19) </w:t>
            </w:r>
            <w:r w:rsidRPr="002F1F9B">
              <w:rPr>
                <w:sz w:val="20"/>
                <w:lang w:val="en-GB" w:eastAsia="en-GB"/>
              </w:rPr>
              <w:t xml:space="preserve">is risk of accumulation or </w:t>
            </w:r>
            <w:proofErr w:type="spellStart"/>
            <w:r w:rsidRPr="002F1F9B">
              <w:rPr>
                <w:sz w:val="20"/>
                <w:lang w:val="en-GB" w:eastAsia="en-GB"/>
              </w:rPr>
              <w:t>catasptrophe</w:t>
            </w:r>
            <w:proofErr w:type="spellEnd"/>
            <w:r w:rsidRPr="002F1F9B">
              <w:rPr>
                <w:sz w:val="20"/>
                <w:lang w:val="en-GB" w:eastAsia="en-GB"/>
              </w:rPr>
              <w:t xml:space="preserve"> risk for lapse as defined in the internal model</w:t>
            </w:r>
          </w:p>
          <w:p w14:paraId="2E3C473A" w14:textId="071CAFD7" w:rsidR="003620F9" w:rsidRPr="002F1F9B" w:rsidRDefault="009F17BB" w:rsidP="009F17BB">
            <w:pPr>
              <w:pStyle w:val="ListParagraph"/>
              <w:numPr>
                <w:ilvl w:val="0"/>
                <w:numId w:val="15"/>
              </w:numPr>
              <w:jc w:val="left"/>
              <w:rPr>
                <w:sz w:val="20"/>
                <w:lang w:val="en-GB" w:eastAsia="en-GB"/>
              </w:rPr>
            </w:pPr>
            <w:r w:rsidRPr="002F1F9B">
              <w:rPr>
                <w:sz w:val="20"/>
                <w:lang w:val="en-GB" w:eastAsia="en-GB"/>
              </w:rPr>
              <w:t xml:space="preserve">‘Lapse type split (other than mass lapse)’ covers non-mass lapse risk if a split in increase / decrease </w:t>
            </w:r>
            <w:r w:rsidRPr="002F1F9B">
              <w:rPr>
                <w:sz w:val="20"/>
                <w:lang w:val="en-GB" w:eastAsia="en-GB"/>
              </w:rPr>
              <w:lastRenderedPageBreak/>
              <w:t>is not available and offers a split in three rough categories: ‘full surrender’, i.e. termination of the contract, ‘partial surrender’ and ‘other’ exercising of contractual options or ‘Policyholder behaviour’.</w:t>
            </w:r>
          </w:p>
        </w:tc>
      </w:tr>
      <w:tr w:rsidR="00BC524A" w:rsidRPr="002F1F9B" w14:paraId="2E3C4741"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3C" w14:textId="77777777" w:rsidR="00BC524A" w:rsidRPr="002F1F9B" w:rsidRDefault="00BC524A" w:rsidP="00BC524A">
            <w:pPr>
              <w:jc w:val="left"/>
              <w:rPr>
                <w:color w:val="000000"/>
                <w:sz w:val="20"/>
                <w:lang w:val="en-GB" w:eastAsia="en-GB"/>
              </w:rPr>
            </w:pPr>
            <w:r w:rsidRPr="002F1F9B">
              <w:rPr>
                <w:color w:val="000000"/>
                <w:sz w:val="20"/>
                <w:lang w:val="en-GB" w:eastAsia="en-GB"/>
              </w:rPr>
              <w:lastRenderedPageBreak/>
              <w:t>LH_LIF_SCR_Rxx_C6</w:t>
            </w:r>
          </w:p>
          <w:p w14:paraId="2E3C473D" w14:textId="77777777" w:rsidR="00BC524A" w:rsidRPr="002F1F9B" w:rsidRDefault="00BC524A" w:rsidP="00BC524A">
            <w:pPr>
              <w:jc w:val="left"/>
              <w:rPr>
                <w:color w:val="000000"/>
                <w:sz w:val="20"/>
                <w:lang w:val="en-GB" w:eastAsia="en-GB"/>
              </w:rPr>
            </w:pPr>
          </w:p>
          <w:p w14:paraId="2E3C473E" w14:textId="5C049466" w:rsidR="00BC524A" w:rsidRPr="002F1F9B" w:rsidRDefault="00BC524A" w:rsidP="00BC524A">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xml:space="preserve">= 1 to </w:t>
            </w:r>
            <w:r w:rsidR="003307D2" w:rsidRPr="002F1F9B">
              <w:rPr>
                <w:color w:val="000000"/>
                <w:sz w:val="20"/>
                <w:lang w:val="en-GB" w:eastAsia="en-GB"/>
              </w:rPr>
              <w:t>2</w:t>
            </w:r>
            <w:r w:rsidR="003620F9" w:rsidRPr="002F1F9B">
              <w:rPr>
                <w:color w:val="000000"/>
                <w:sz w:val="20"/>
                <w:lang w:val="en-GB" w:eastAsia="en-GB"/>
              </w:rPr>
              <w:t>7</w:t>
            </w:r>
            <w:r w:rsidR="003307D2" w:rsidRPr="002F1F9B">
              <w:rPr>
                <w:color w:val="000000"/>
                <w:sz w:val="20"/>
                <w:lang w:val="en-GB" w:eastAsia="en-GB"/>
              </w:rPr>
              <w:t xml:space="preserve"> (if </w:t>
            </w:r>
            <w:r w:rsidR="003307D2" w:rsidRPr="000C40A7">
              <w:rPr>
                <w:color w:val="FF0000"/>
                <w:sz w:val="20"/>
                <w:lang w:val="en-GB" w:eastAsia="en-GB"/>
              </w:rPr>
              <w:t>R2</w:t>
            </w:r>
            <w:r w:rsidR="00F80BAE">
              <w:rPr>
                <w:color w:val="FF0000"/>
                <w:sz w:val="20"/>
                <w:lang w:val="en-GB" w:eastAsia="en-GB"/>
              </w:rPr>
              <w:t>7</w:t>
            </w:r>
            <w:r w:rsidR="003E7A81" w:rsidRPr="002F1F9B">
              <w:rPr>
                <w:color w:val="000000"/>
                <w:sz w:val="20"/>
                <w:lang w:val="en-GB" w:eastAsia="en-GB"/>
              </w:rPr>
              <w:t xml:space="preserve"> is reported then R1 to R10 shall not be reported)</w:t>
            </w:r>
          </w:p>
        </w:tc>
        <w:tc>
          <w:tcPr>
            <w:tcW w:w="0" w:type="auto"/>
            <w:tcBorders>
              <w:top w:val="nil"/>
              <w:left w:val="nil"/>
              <w:bottom w:val="single" w:sz="4" w:space="0" w:color="auto"/>
              <w:right w:val="single" w:sz="4" w:space="0" w:color="auto"/>
            </w:tcBorders>
            <w:shd w:val="clear" w:color="auto" w:fill="auto"/>
          </w:tcPr>
          <w:p w14:paraId="2E3C473F" w14:textId="77777777" w:rsidR="00BC524A" w:rsidRPr="002F1F9B" w:rsidRDefault="00BC524A" w:rsidP="00BC524A">
            <w:pPr>
              <w:jc w:val="left"/>
              <w:rPr>
                <w:color w:val="000000"/>
                <w:sz w:val="20"/>
                <w:lang w:val="en-GB" w:eastAsia="en-GB"/>
              </w:rPr>
            </w:pPr>
            <w:r w:rsidRPr="002F1F9B">
              <w:rPr>
                <w:color w:val="000000"/>
                <w:sz w:val="20"/>
                <w:lang w:val="en-GB" w:eastAsia="en-GB"/>
              </w:rPr>
              <w:t>Mean</w:t>
            </w:r>
          </w:p>
        </w:tc>
        <w:tc>
          <w:tcPr>
            <w:tcW w:w="4761" w:type="dxa"/>
            <w:tcBorders>
              <w:top w:val="nil"/>
              <w:left w:val="nil"/>
              <w:bottom w:val="single" w:sz="4" w:space="0" w:color="auto"/>
              <w:right w:val="single" w:sz="4" w:space="0" w:color="auto"/>
            </w:tcBorders>
            <w:shd w:val="clear" w:color="auto" w:fill="auto"/>
          </w:tcPr>
          <w:p w14:paraId="2E3C4740" w14:textId="29471A12" w:rsidR="00BC524A" w:rsidRPr="002F1F9B" w:rsidRDefault="00BC524A" w:rsidP="00BC524A">
            <w:pPr>
              <w:jc w:val="left"/>
              <w:rPr>
                <w:color w:val="000000"/>
                <w:sz w:val="20"/>
                <w:lang w:val="en-GB" w:eastAsia="en-GB"/>
              </w:rPr>
            </w:pPr>
            <w:r w:rsidRPr="002F1F9B">
              <w:rPr>
                <w:color w:val="000000"/>
                <w:sz w:val="20"/>
                <w:lang w:val="en-GB" w:eastAsia="en-GB"/>
              </w:rPr>
              <w:t xml:space="preserve">The mean of the probability distribution of the </w:t>
            </w:r>
            <w:r w:rsidR="000A7867" w:rsidRPr="002F1F9B">
              <w:rPr>
                <w:color w:val="000000"/>
                <w:sz w:val="20"/>
                <w:lang w:val="en-GB" w:eastAsia="en-GB"/>
              </w:rPr>
              <w:t xml:space="preserve">net </w:t>
            </w:r>
            <w:r w:rsidRPr="002F1F9B">
              <w:rPr>
                <w:color w:val="000000"/>
                <w:sz w:val="20"/>
                <w:lang w:val="en-GB" w:eastAsia="en-GB"/>
              </w:rPr>
              <w:t>SCR</w:t>
            </w:r>
          </w:p>
        </w:tc>
      </w:tr>
      <w:tr w:rsidR="00BC524A" w:rsidRPr="002F1F9B" w14:paraId="2E3C4748"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42" w14:textId="77777777" w:rsidR="00BC524A" w:rsidRPr="002F1F9B" w:rsidRDefault="00BC524A" w:rsidP="00BC524A">
            <w:pPr>
              <w:jc w:val="left"/>
              <w:rPr>
                <w:color w:val="000000"/>
                <w:sz w:val="20"/>
                <w:lang w:val="en-GB" w:eastAsia="en-GB"/>
              </w:rPr>
            </w:pPr>
            <w:r w:rsidRPr="002F1F9B">
              <w:rPr>
                <w:color w:val="000000"/>
                <w:sz w:val="20"/>
                <w:lang w:val="en-GB" w:eastAsia="en-GB"/>
              </w:rPr>
              <w:t>LH_LIF_SCR_Rxx_C7</w:t>
            </w:r>
          </w:p>
          <w:p w14:paraId="2E3C4743" w14:textId="77777777" w:rsidR="00BC524A" w:rsidRPr="002F1F9B" w:rsidRDefault="00BC524A" w:rsidP="00BC524A">
            <w:pPr>
              <w:jc w:val="left"/>
              <w:rPr>
                <w:color w:val="000000"/>
                <w:sz w:val="20"/>
                <w:lang w:val="en-GB" w:eastAsia="en-GB"/>
              </w:rPr>
            </w:pPr>
          </w:p>
          <w:p w14:paraId="2E3C4744" w14:textId="2F6F23EF" w:rsidR="00BC524A" w:rsidRPr="002F1F9B" w:rsidRDefault="00BC524A" w:rsidP="00BC524A">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xml:space="preserve">= 1 to </w:t>
            </w:r>
            <w:r w:rsidR="003307D2" w:rsidRPr="002F1F9B">
              <w:rPr>
                <w:color w:val="000000"/>
                <w:sz w:val="20"/>
                <w:lang w:val="en-GB" w:eastAsia="en-GB"/>
              </w:rPr>
              <w:t>2</w:t>
            </w:r>
            <w:r w:rsidR="003620F9" w:rsidRPr="002F1F9B">
              <w:rPr>
                <w:color w:val="000000"/>
                <w:sz w:val="20"/>
                <w:lang w:val="en-GB" w:eastAsia="en-GB"/>
              </w:rPr>
              <w:t>7</w:t>
            </w:r>
            <w:r w:rsidR="003307D2" w:rsidRPr="002F1F9B">
              <w:rPr>
                <w:color w:val="000000"/>
                <w:sz w:val="20"/>
                <w:lang w:val="en-GB" w:eastAsia="en-GB"/>
              </w:rPr>
              <w:t xml:space="preserve"> (if </w:t>
            </w:r>
            <w:r w:rsidR="003307D2" w:rsidRPr="000C40A7">
              <w:rPr>
                <w:color w:val="FF0000"/>
                <w:sz w:val="20"/>
                <w:lang w:val="en-GB" w:eastAsia="en-GB"/>
              </w:rPr>
              <w:t>R2</w:t>
            </w:r>
            <w:r w:rsidR="00F80BAE">
              <w:rPr>
                <w:color w:val="FF0000"/>
                <w:sz w:val="20"/>
                <w:lang w:val="en-GB" w:eastAsia="en-GB"/>
              </w:rPr>
              <w:t>7</w:t>
            </w:r>
            <w:r w:rsidR="003E7A81" w:rsidRPr="002F1F9B">
              <w:rPr>
                <w:color w:val="000000"/>
                <w:sz w:val="20"/>
                <w:lang w:val="en-GB" w:eastAsia="en-GB"/>
              </w:rPr>
              <w:t xml:space="preserve"> is reported then R1 to R10 shall not be reported)</w:t>
            </w:r>
          </w:p>
        </w:tc>
        <w:tc>
          <w:tcPr>
            <w:tcW w:w="0" w:type="auto"/>
            <w:tcBorders>
              <w:top w:val="nil"/>
              <w:left w:val="nil"/>
              <w:bottom w:val="single" w:sz="4" w:space="0" w:color="auto"/>
              <w:right w:val="single" w:sz="4" w:space="0" w:color="auto"/>
            </w:tcBorders>
            <w:shd w:val="clear" w:color="auto" w:fill="auto"/>
          </w:tcPr>
          <w:p w14:paraId="2E3C4745" w14:textId="77777777" w:rsidR="00BC524A" w:rsidRPr="002F1F9B" w:rsidRDefault="00BC524A" w:rsidP="00BC524A">
            <w:pPr>
              <w:jc w:val="left"/>
              <w:rPr>
                <w:color w:val="000000"/>
                <w:sz w:val="20"/>
                <w:lang w:val="en-GB" w:eastAsia="en-GB"/>
              </w:rPr>
            </w:pPr>
            <w:r w:rsidRPr="002F1F9B">
              <w:rPr>
                <w:color w:val="000000"/>
                <w:sz w:val="20"/>
                <w:lang w:val="en-GB" w:eastAsia="en-GB"/>
              </w:rPr>
              <w:t>Standard deviation</w:t>
            </w:r>
          </w:p>
        </w:tc>
        <w:tc>
          <w:tcPr>
            <w:tcW w:w="4761" w:type="dxa"/>
            <w:tcBorders>
              <w:top w:val="nil"/>
              <w:left w:val="nil"/>
              <w:bottom w:val="single" w:sz="4" w:space="0" w:color="auto"/>
              <w:right w:val="single" w:sz="4" w:space="0" w:color="auto"/>
            </w:tcBorders>
            <w:shd w:val="clear" w:color="auto" w:fill="auto"/>
          </w:tcPr>
          <w:p w14:paraId="2E3C4747" w14:textId="30D93FC7" w:rsidR="00BC524A" w:rsidRPr="002F1F9B" w:rsidRDefault="00BC524A" w:rsidP="00BC524A">
            <w:pPr>
              <w:jc w:val="left"/>
              <w:rPr>
                <w:color w:val="000000"/>
                <w:sz w:val="20"/>
                <w:lang w:val="en-GB" w:eastAsia="en-GB"/>
              </w:rPr>
            </w:pPr>
            <w:r w:rsidRPr="002F1F9B">
              <w:rPr>
                <w:color w:val="000000"/>
                <w:sz w:val="20"/>
                <w:lang w:val="en-GB" w:eastAsia="en-GB"/>
              </w:rPr>
              <w:t xml:space="preserve">The Standard deviation of the probability distribution of the </w:t>
            </w:r>
            <w:r w:rsidR="000A7867" w:rsidRPr="002F1F9B">
              <w:rPr>
                <w:color w:val="000000"/>
                <w:sz w:val="20"/>
                <w:lang w:val="en-GB" w:eastAsia="en-GB"/>
              </w:rPr>
              <w:t xml:space="preserve">net </w:t>
            </w:r>
            <w:r w:rsidRPr="002F1F9B">
              <w:rPr>
                <w:color w:val="000000"/>
                <w:sz w:val="20"/>
                <w:lang w:val="en-GB" w:eastAsia="en-GB"/>
              </w:rPr>
              <w:t>SCR</w:t>
            </w:r>
          </w:p>
        </w:tc>
      </w:tr>
      <w:tr w:rsidR="00BC524A" w:rsidRPr="002F1F9B" w14:paraId="2E3C4750"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49" w14:textId="77777777" w:rsidR="00BC524A" w:rsidRPr="002F1F9B" w:rsidRDefault="00BC524A" w:rsidP="00BC524A">
            <w:pPr>
              <w:jc w:val="left"/>
              <w:rPr>
                <w:color w:val="000000"/>
                <w:sz w:val="20"/>
                <w:lang w:val="en-GB" w:eastAsia="en-GB"/>
              </w:rPr>
            </w:pPr>
            <w:proofErr w:type="spellStart"/>
            <w:r w:rsidRPr="002F1F9B">
              <w:rPr>
                <w:color w:val="000000"/>
                <w:sz w:val="20"/>
                <w:lang w:val="en-GB" w:eastAsia="en-GB"/>
              </w:rPr>
              <w:t>LH_LIF_SCR_Rxx_Cyy</w:t>
            </w:r>
            <w:proofErr w:type="spellEnd"/>
          </w:p>
          <w:p w14:paraId="2E3C474A" w14:textId="77777777" w:rsidR="00BC524A" w:rsidRPr="002F1F9B" w:rsidRDefault="00BC524A" w:rsidP="00BC524A">
            <w:pPr>
              <w:jc w:val="left"/>
              <w:rPr>
                <w:color w:val="000000"/>
                <w:sz w:val="20"/>
                <w:lang w:val="en-GB" w:eastAsia="en-GB"/>
              </w:rPr>
            </w:pPr>
          </w:p>
          <w:p w14:paraId="2E3C474B" w14:textId="18D3FA5A" w:rsidR="00BC524A" w:rsidRPr="002F1F9B" w:rsidRDefault="00BC524A" w:rsidP="00BC524A">
            <w:pPr>
              <w:jc w:val="left"/>
              <w:rPr>
                <w:color w:val="000000"/>
                <w:sz w:val="20"/>
                <w:lang w:val="en-GB" w:eastAsia="en-GB"/>
              </w:rPr>
            </w:pPr>
            <w:r w:rsidRPr="002F1F9B">
              <w:rPr>
                <w:color w:val="000000"/>
                <w:sz w:val="20"/>
                <w:lang w:val="en-GB" w:eastAsia="en-GB"/>
              </w:rPr>
              <w:t xml:space="preserve">xx= 1 to </w:t>
            </w:r>
            <w:r w:rsidR="003307D2" w:rsidRPr="002F1F9B">
              <w:rPr>
                <w:color w:val="000000"/>
                <w:sz w:val="20"/>
                <w:lang w:val="en-GB" w:eastAsia="en-GB"/>
              </w:rPr>
              <w:t>2</w:t>
            </w:r>
            <w:r w:rsidR="003620F9" w:rsidRPr="002F1F9B">
              <w:rPr>
                <w:color w:val="000000"/>
                <w:sz w:val="20"/>
                <w:lang w:val="en-GB" w:eastAsia="en-GB"/>
              </w:rPr>
              <w:t>7</w:t>
            </w:r>
            <w:r w:rsidR="003307D2" w:rsidRPr="002F1F9B">
              <w:rPr>
                <w:color w:val="000000"/>
                <w:sz w:val="20"/>
                <w:lang w:val="en-GB" w:eastAsia="en-GB"/>
              </w:rPr>
              <w:t xml:space="preserve"> (if </w:t>
            </w:r>
            <w:r w:rsidR="003307D2" w:rsidRPr="000C40A7">
              <w:rPr>
                <w:color w:val="FF0000"/>
                <w:sz w:val="20"/>
                <w:lang w:val="en-GB" w:eastAsia="en-GB"/>
              </w:rPr>
              <w:t>R2</w:t>
            </w:r>
            <w:r w:rsidR="00F80BAE">
              <w:rPr>
                <w:color w:val="FF0000"/>
                <w:sz w:val="20"/>
                <w:lang w:val="en-GB" w:eastAsia="en-GB"/>
              </w:rPr>
              <w:t>7</w:t>
            </w:r>
            <w:r w:rsidR="003E7A81" w:rsidRPr="002F1F9B">
              <w:rPr>
                <w:color w:val="000000"/>
                <w:sz w:val="20"/>
                <w:lang w:val="en-GB" w:eastAsia="en-GB"/>
              </w:rPr>
              <w:t xml:space="preserve"> is reported then R1 to R10 shall not be reported)</w:t>
            </w:r>
          </w:p>
          <w:p w14:paraId="23E2DD59" w14:textId="77777777" w:rsidR="00301893" w:rsidRPr="002F1F9B" w:rsidRDefault="00301893" w:rsidP="00BC524A">
            <w:pPr>
              <w:jc w:val="left"/>
              <w:rPr>
                <w:color w:val="000000"/>
                <w:sz w:val="20"/>
                <w:lang w:val="en-GB" w:eastAsia="en-GB"/>
              </w:rPr>
            </w:pPr>
          </w:p>
          <w:p w14:paraId="2E3C474C" w14:textId="01FDE753" w:rsidR="00BC524A" w:rsidRPr="002F1F9B" w:rsidRDefault="00BC524A" w:rsidP="00BC524A">
            <w:pPr>
              <w:jc w:val="left"/>
              <w:rPr>
                <w:color w:val="000000"/>
                <w:sz w:val="20"/>
                <w:lang w:val="en-GB" w:eastAsia="en-GB"/>
              </w:rPr>
            </w:pPr>
            <w:proofErr w:type="spellStart"/>
            <w:r w:rsidRPr="002F1F9B">
              <w:rPr>
                <w:color w:val="000000"/>
                <w:sz w:val="20"/>
                <w:lang w:val="en-GB" w:eastAsia="en-GB"/>
              </w:rPr>
              <w:t>yy</w:t>
            </w:r>
            <w:proofErr w:type="spellEnd"/>
            <w:r w:rsidR="00FC1164" w:rsidRPr="002F1F9B">
              <w:rPr>
                <w:color w:val="000000"/>
                <w:sz w:val="20"/>
                <w:lang w:val="en-GB" w:eastAsia="en-GB"/>
              </w:rPr>
              <w:t xml:space="preserve"> </w:t>
            </w:r>
            <w:r w:rsidRPr="002F1F9B">
              <w:rPr>
                <w:color w:val="000000"/>
                <w:sz w:val="20"/>
                <w:lang w:val="en-GB" w:eastAsia="en-GB"/>
              </w:rPr>
              <w:t>= 8 to 24</w:t>
            </w:r>
          </w:p>
        </w:tc>
        <w:tc>
          <w:tcPr>
            <w:tcW w:w="0" w:type="auto"/>
            <w:tcBorders>
              <w:top w:val="nil"/>
              <w:left w:val="nil"/>
              <w:bottom w:val="single" w:sz="4" w:space="0" w:color="auto"/>
              <w:right w:val="single" w:sz="4" w:space="0" w:color="auto"/>
            </w:tcBorders>
            <w:shd w:val="clear" w:color="auto" w:fill="auto"/>
          </w:tcPr>
          <w:p w14:paraId="2E3C474D" w14:textId="07E3BF99" w:rsidR="00BC524A" w:rsidRPr="002F1F9B" w:rsidRDefault="00BC524A" w:rsidP="00420F1E">
            <w:pPr>
              <w:jc w:val="left"/>
              <w:rPr>
                <w:color w:val="000000"/>
                <w:sz w:val="20"/>
                <w:lang w:val="en-GB" w:eastAsia="en-GB"/>
              </w:rPr>
            </w:pPr>
            <w:r w:rsidRPr="002F1F9B">
              <w:rPr>
                <w:color w:val="000000"/>
                <w:sz w:val="20"/>
                <w:lang w:val="en-GB" w:eastAsia="en-GB"/>
              </w:rPr>
              <w:t>Percentiles from 0.001 to 0.999</w:t>
            </w:r>
            <w:r w:rsidR="0074666D" w:rsidRPr="002F1F9B">
              <w:rPr>
                <w:color w:val="000000"/>
                <w:sz w:val="20"/>
                <w:lang w:val="en-GB" w:eastAsia="en-GB"/>
              </w:rPr>
              <w:t xml:space="preserve"> (see </w:t>
            </w:r>
            <w:r w:rsidR="00420F1E" w:rsidRPr="002F1F9B">
              <w:rPr>
                <w:color w:val="000000"/>
                <w:sz w:val="20"/>
                <w:lang w:val="en-GB" w:eastAsia="en-GB"/>
              </w:rPr>
              <w:t xml:space="preserve">required percentiles in </w:t>
            </w:r>
            <w:r w:rsidR="0074666D" w:rsidRPr="002F1F9B">
              <w:rPr>
                <w:color w:val="000000"/>
                <w:sz w:val="20"/>
                <w:lang w:val="en-GB" w:eastAsia="en-GB"/>
              </w:rPr>
              <w:t>Annex XII )</w:t>
            </w:r>
          </w:p>
        </w:tc>
        <w:tc>
          <w:tcPr>
            <w:tcW w:w="4761" w:type="dxa"/>
            <w:tcBorders>
              <w:top w:val="nil"/>
              <w:left w:val="nil"/>
              <w:bottom w:val="single" w:sz="4" w:space="0" w:color="auto"/>
              <w:right w:val="single" w:sz="4" w:space="0" w:color="auto"/>
            </w:tcBorders>
            <w:shd w:val="clear" w:color="auto" w:fill="auto"/>
          </w:tcPr>
          <w:p w14:paraId="2E3C474F" w14:textId="5D5305A7" w:rsidR="00BC524A" w:rsidRPr="002F1F9B" w:rsidRDefault="00BC524A" w:rsidP="000A7867">
            <w:pPr>
              <w:jc w:val="left"/>
              <w:rPr>
                <w:color w:val="000000"/>
                <w:sz w:val="20"/>
                <w:lang w:val="en-GB" w:eastAsia="en-GB"/>
              </w:rPr>
            </w:pPr>
            <w:r w:rsidRPr="002F1F9B">
              <w:rPr>
                <w:color w:val="000000"/>
                <w:sz w:val="20"/>
                <w:lang w:val="en-GB" w:eastAsia="en-GB"/>
              </w:rPr>
              <w:t>It is expected that the insurance and reinsurance undertakings indicate the amounts of the percentiles required in the table related to the probability distribution obtained based on the simulation process (</w:t>
            </w:r>
            <w:r w:rsidR="000A7867" w:rsidRPr="002F1F9B">
              <w:rPr>
                <w:color w:val="000000"/>
                <w:sz w:val="20"/>
                <w:lang w:val="en-GB" w:eastAsia="en-GB"/>
              </w:rPr>
              <w:t>net</w:t>
            </w:r>
            <w:r w:rsidRPr="002F1F9B">
              <w:rPr>
                <w:color w:val="000000"/>
                <w:sz w:val="20"/>
                <w:lang w:val="en-GB" w:eastAsia="en-GB"/>
              </w:rPr>
              <w:t xml:space="preserve"> of reinsurance and on discounted basis).</w:t>
            </w:r>
          </w:p>
        </w:tc>
      </w:tr>
      <w:tr w:rsidR="002E162C" w:rsidRPr="002F1F9B" w14:paraId="2E3C4754" w14:textId="77777777" w:rsidTr="00946E79">
        <w:trPr>
          <w:trHeight w:val="315"/>
        </w:trPr>
        <w:tc>
          <w:tcPr>
            <w:tcW w:w="9782" w:type="dxa"/>
            <w:gridSpan w:val="3"/>
            <w:tcBorders>
              <w:top w:val="single" w:sz="8" w:space="0" w:color="auto"/>
              <w:left w:val="single" w:sz="8" w:space="0" w:color="auto"/>
              <w:bottom w:val="single" w:sz="8" w:space="0" w:color="auto"/>
              <w:right w:val="single" w:sz="8" w:space="0" w:color="000000"/>
            </w:tcBorders>
            <w:shd w:val="clear" w:color="auto" w:fill="auto"/>
            <w:noWrap/>
          </w:tcPr>
          <w:p w14:paraId="2E3C4751" w14:textId="77777777" w:rsidR="00221311" w:rsidRPr="002F1F9B" w:rsidRDefault="00221311" w:rsidP="00221311">
            <w:pPr>
              <w:rPr>
                <w:sz w:val="20"/>
                <w:lang w:val="en-GB"/>
              </w:rPr>
            </w:pPr>
            <w:r w:rsidRPr="002F1F9B">
              <w:rPr>
                <w:b/>
                <w:sz w:val="20"/>
                <w:lang w:val="en-GB"/>
              </w:rPr>
              <w:t>A</w:t>
            </w:r>
            <w:r w:rsidR="00DA4F2B" w:rsidRPr="002F1F9B">
              <w:rPr>
                <w:b/>
                <w:sz w:val="20"/>
                <w:lang w:val="en-GB"/>
              </w:rPr>
              <w:t>LTERNATIVE BLOCK FOR LIFE RISK</w:t>
            </w:r>
            <w:r w:rsidRPr="002F1F9B">
              <w:rPr>
                <w:sz w:val="20"/>
                <w:lang w:val="en-GB"/>
              </w:rPr>
              <w:t xml:space="preserve"> </w:t>
            </w:r>
          </w:p>
          <w:p w14:paraId="2E3C4752" w14:textId="77777777" w:rsidR="002E162C" w:rsidRPr="002F1F9B" w:rsidRDefault="00221311" w:rsidP="00221311">
            <w:pPr>
              <w:rPr>
                <w:sz w:val="20"/>
                <w:lang w:val="en-GB"/>
              </w:rPr>
            </w:pPr>
            <w:r w:rsidRPr="002F1F9B">
              <w:rPr>
                <w:sz w:val="20"/>
                <w:lang w:val="en-GB"/>
              </w:rPr>
              <w:t>T</w:t>
            </w:r>
            <w:r w:rsidR="002E162C" w:rsidRPr="002F1F9B">
              <w:rPr>
                <w:sz w:val="20"/>
                <w:lang w:val="en-GB"/>
              </w:rPr>
              <w:t xml:space="preserve">o be completed if </w:t>
            </w:r>
            <w:r w:rsidR="008879E4" w:rsidRPr="002F1F9B">
              <w:rPr>
                <w:sz w:val="20"/>
                <w:lang w:val="en-GB"/>
              </w:rPr>
              <w:t xml:space="preserve">the </w:t>
            </w:r>
            <w:r w:rsidR="002E162C" w:rsidRPr="002F1F9B">
              <w:rPr>
                <w:sz w:val="20"/>
                <w:lang w:val="en-GB"/>
              </w:rPr>
              <w:t>internal model only has a split between Trend and Level risk.</w:t>
            </w:r>
            <w:r w:rsidRPr="002F1F9B">
              <w:rPr>
                <w:sz w:val="20"/>
                <w:lang w:val="en-GB"/>
              </w:rPr>
              <w:t xml:space="preserve"> In that case </w:t>
            </w:r>
            <w:r w:rsidR="008879E4" w:rsidRPr="002F1F9B">
              <w:rPr>
                <w:sz w:val="20"/>
                <w:lang w:val="en-GB"/>
              </w:rPr>
              <w:t>the following</w:t>
            </w:r>
            <w:r w:rsidRPr="002F1F9B">
              <w:rPr>
                <w:sz w:val="20"/>
                <w:lang w:val="en-GB"/>
              </w:rPr>
              <w:t xml:space="preserve"> block replaces the block above.</w:t>
            </w:r>
          </w:p>
          <w:p w14:paraId="2E3C4753" w14:textId="77777777" w:rsidR="00DA4F2B" w:rsidRPr="002F1F9B" w:rsidRDefault="00DA4F2B" w:rsidP="00DA4F2B">
            <w:pPr>
              <w:rPr>
                <w:sz w:val="20"/>
                <w:lang w:val="en-GB"/>
              </w:rPr>
            </w:pPr>
          </w:p>
        </w:tc>
      </w:tr>
      <w:tr w:rsidR="0003282E" w:rsidRPr="002F1F9B" w14:paraId="5795C70E" w14:textId="77777777" w:rsidTr="00026E22">
        <w:trPr>
          <w:trHeight w:val="600"/>
        </w:trPr>
        <w:tc>
          <w:tcPr>
            <w:tcW w:w="2683" w:type="dxa"/>
            <w:tcBorders>
              <w:top w:val="nil"/>
              <w:left w:val="single" w:sz="4" w:space="0" w:color="auto"/>
              <w:bottom w:val="single" w:sz="4" w:space="0" w:color="auto"/>
              <w:right w:val="single" w:sz="4" w:space="0" w:color="auto"/>
            </w:tcBorders>
            <w:shd w:val="clear" w:color="auto" w:fill="auto"/>
          </w:tcPr>
          <w:p w14:paraId="269FED38" w14:textId="77777777" w:rsidR="0003282E" w:rsidRPr="002F1F9B" w:rsidRDefault="0003282E" w:rsidP="00026E22">
            <w:pPr>
              <w:jc w:val="left"/>
              <w:rPr>
                <w:color w:val="000000"/>
                <w:sz w:val="20"/>
                <w:lang w:val="en-GB" w:eastAsia="en-GB"/>
              </w:rPr>
            </w:pPr>
            <w:r w:rsidRPr="002F1F9B">
              <w:rPr>
                <w:color w:val="000000"/>
                <w:sz w:val="20"/>
                <w:lang w:val="en-GB" w:eastAsia="en-GB"/>
              </w:rPr>
              <w:t>LH_LIF_EXPTLC_R3_C1</w:t>
            </w:r>
          </w:p>
        </w:tc>
        <w:tc>
          <w:tcPr>
            <w:tcW w:w="0" w:type="auto"/>
            <w:tcBorders>
              <w:top w:val="nil"/>
              <w:left w:val="nil"/>
              <w:bottom w:val="single" w:sz="4" w:space="0" w:color="auto"/>
              <w:right w:val="single" w:sz="4" w:space="0" w:color="auto"/>
            </w:tcBorders>
            <w:shd w:val="clear" w:color="auto" w:fill="auto"/>
          </w:tcPr>
          <w:p w14:paraId="605C4546" w14:textId="77777777" w:rsidR="0003282E" w:rsidRPr="002F1F9B" w:rsidRDefault="0003282E" w:rsidP="00026E22">
            <w:pPr>
              <w:jc w:val="left"/>
              <w:rPr>
                <w:color w:val="000000"/>
                <w:sz w:val="20"/>
                <w:lang w:val="en-GB" w:eastAsia="en-GB"/>
              </w:rPr>
            </w:pPr>
            <w:r w:rsidRPr="002F1F9B">
              <w:rPr>
                <w:color w:val="000000"/>
                <w:sz w:val="20"/>
                <w:lang w:val="en-GB" w:eastAsia="en-GB"/>
              </w:rPr>
              <w:t>Net Best Estimate liability + Technical provisions calculated as a whole</w:t>
            </w:r>
          </w:p>
        </w:tc>
        <w:tc>
          <w:tcPr>
            <w:tcW w:w="4761" w:type="dxa"/>
            <w:tcBorders>
              <w:top w:val="nil"/>
              <w:left w:val="nil"/>
              <w:bottom w:val="single" w:sz="4" w:space="0" w:color="auto"/>
              <w:right w:val="single" w:sz="4" w:space="0" w:color="auto"/>
            </w:tcBorders>
            <w:shd w:val="clear" w:color="auto" w:fill="auto"/>
          </w:tcPr>
          <w:p w14:paraId="2E06D7E9" w14:textId="2C2E33DD" w:rsidR="0003282E" w:rsidRPr="002F1F9B" w:rsidRDefault="0003282E" w:rsidP="00026E22">
            <w:pPr>
              <w:rPr>
                <w:sz w:val="20"/>
                <w:lang w:val="en-GB"/>
              </w:rPr>
            </w:pPr>
            <w:r w:rsidRPr="002F1F9B">
              <w:rPr>
                <w:sz w:val="20"/>
                <w:lang w:val="en-GB"/>
              </w:rPr>
              <w:t>Catastrophe risk best estimate shall be reported net of reinsurance and refers to the products of the life insurance portfolio that are sensitive to the relevant risk category. TPs calculated as a whole should be taken in as well.</w:t>
            </w:r>
          </w:p>
        </w:tc>
      </w:tr>
      <w:tr w:rsidR="0003282E" w:rsidRPr="002F1F9B" w14:paraId="4B4864CA" w14:textId="77777777" w:rsidTr="00026E22">
        <w:trPr>
          <w:trHeight w:val="600"/>
        </w:trPr>
        <w:tc>
          <w:tcPr>
            <w:tcW w:w="2683" w:type="dxa"/>
            <w:tcBorders>
              <w:top w:val="nil"/>
              <w:left w:val="single" w:sz="4" w:space="0" w:color="auto"/>
              <w:bottom w:val="single" w:sz="4" w:space="0" w:color="auto"/>
              <w:right w:val="single" w:sz="4" w:space="0" w:color="auto"/>
            </w:tcBorders>
            <w:shd w:val="clear" w:color="auto" w:fill="auto"/>
          </w:tcPr>
          <w:p w14:paraId="280253E1" w14:textId="77777777" w:rsidR="0003282E" w:rsidRPr="002F1F9B" w:rsidRDefault="0003282E" w:rsidP="00026E22">
            <w:pPr>
              <w:jc w:val="left"/>
              <w:rPr>
                <w:color w:val="000000"/>
                <w:sz w:val="20"/>
                <w:lang w:val="en-GB" w:eastAsia="en-GB"/>
              </w:rPr>
            </w:pPr>
            <w:r w:rsidRPr="002F1F9B">
              <w:rPr>
                <w:color w:val="000000"/>
                <w:sz w:val="20"/>
                <w:lang w:val="en-GB" w:eastAsia="en-GB"/>
              </w:rPr>
              <w:t>LH_LIF_EXPTLC_R3_C2</w:t>
            </w:r>
          </w:p>
        </w:tc>
        <w:tc>
          <w:tcPr>
            <w:tcW w:w="0" w:type="auto"/>
            <w:tcBorders>
              <w:top w:val="nil"/>
              <w:left w:val="nil"/>
              <w:bottom w:val="single" w:sz="4" w:space="0" w:color="auto"/>
              <w:right w:val="single" w:sz="4" w:space="0" w:color="auto"/>
            </w:tcBorders>
            <w:shd w:val="clear" w:color="auto" w:fill="auto"/>
          </w:tcPr>
          <w:p w14:paraId="7C58B8E0" w14:textId="77777777" w:rsidR="0003282E" w:rsidRPr="002F1F9B" w:rsidRDefault="0003282E" w:rsidP="00026E22">
            <w:pPr>
              <w:jc w:val="left"/>
              <w:rPr>
                <w:color w:val="000000"/>
                <w:sz w:val="20"/>
                <w:lang w:val="en-GB" w:eastAsia="en-GB"/>
              </w:rPr>
            </w:pPr>
            <w:r w:rsidRPr="002F1F9B">
              <w:rPr>
                <w:color w:val="000000"/>
                <w:sz w:val="20"/>
                <w:lang w:val="en-GB" w:eastAsia="en-GB"/>
              </w:rPr>
              <w:t>Net Written Premiums</w:t>
            </w:r>
          </w:p>
        </w:tc>
        <w:tc>
          <w:tcPr>
            <w:tcW w:w="4761" w:type="dxa"/>
            <w:tcBorders>
              <w:top w:val="nil"/>
              <w:left w:val="nil"/>
              <w:bottom w:val="single" w:sz="4" w:space="0" w:color="auto"/>
              <w:right w:val="single" w:sz="4" w:space="0" w:color="auto"/>
            </w:tcBorders>
            <w:shd w:val="clear" w:color="auto" w:fill="auto"/>
          </w:tcPr>
          <w:p w14:paraId="72B956EB" w14:textId="77777777" w:rsidR="0003282E" w:rsidRPr="002F1F9B" w:rsidRDefault="0003282E" w:rsidP="00026E22">
            <w:pPr>
              <w:jc w:val="left"/>
              <w:rPr>
                <w:sz w:val="20"/>
                <w:lang w:val="en-GB"/>
              </w:rPr>
            </w:pPr>
            <w:r w:rsidRPr="002F1F9B">
              <w:rPr>
                <w:color w:val="000000"/>
                <w:sz w:val="20"/>
                <w:lang w:val="en-GB" w:eastAsia="en-GB"/>
              </w:rPr>
              <w:t xml:space="preserve">The total of the net written premiums for </w:t>
            </w:r>
            <w:r w:rsidRPr="002F1F9B">
              <w:rPr>
                <w:sz w:val="20"/>
                <w:lang w:val="en-GB"/>
              </w:rPr>
              <w:t xml:space="preserve">catastrophe risk shall be reported </w:t>
            </w:r>
            <w:r w:rsidRPr="002F1F9B">
              <w:rPr>
                <w:color w:val="000000"/>
                <w:sz w:val="20"/>
                <w:lang w:val="en-GB" w:eastAsia="en-GB"/>
              </w:rPr>
              <w:t xml:space="preserve">for the </w:t>
            </w:r>
            <w:r w:rsidRPr="002F1F9B">
              <w:rPr>
                <w:sz w:val="20"/>
                <w:lang w:val="en-GB"/>
              </w:rPr>
              <w:t>products of the life insurance portfolio that are sensitive to the relevant risk category.</w:t>
            </w:r>
          </w:p>
        </w:tc>
      </w:tr>
      <w:tr w:rsidR="0003282E" w:rsidRPr="002F1F9B" w14:paraId="383A4E42" w14:textId="77777777" w:rsidTr="00026E22">
        <w:trPr>
          <w:trHeight w:val="600"/>
        </w:trPr>
        <w:tc>
          <w:tcPr>
            <w:tcW w:w="2683" w:type="dxa"/>
            <w:tcBorders>
              <w:top w:val="nil"/>
              <w:left w:val="single" w:sz="4" w:space="0" w:color="auto"/>
              <w:bottom w:val="single" w:sz="4" w:space="0" w:color="auto"/>
              <w:right w:val="single" w:sz="4" w:space="0" w:color="auto"/>
            </w:tcBorders>
            <w:shd w:val="clear" w:color="auto" w:fill="auto"/>
          </w:tcPr>
          <w:p w14:paraId="334F771F" w14:textId="77777777" w:rsidR="0003282E" w:rsidRPr="002F1F9B" w:rsidRDefault="0003282E" w:rsidP="00026E22">
            <w:pPr>
              <w:jc w:val="left"/>
              <w:rPr>
                <w:color w:val="000000"/>
                <w:sz w:val="20"/>
                <w:lang w:val="en-GB" w:eastAsia="en-GB"/>
              </w:rPr>
            </w:pPr>
            <w:r w:rsidRPr="002F1F9B">
              <w:rPr>
                <w:color w:val="000000"/>
                <w:sz w:val="20"/>
                <w:lang w:val="en-GB" w:eastAsia="en-GB"/>
              </w:rPr>
              <w:t>LH_LIF_EXPTLC_R3_C3</w:t>
            </w:r>
          </w:p>
        </w:tc>
        <w:tc>
          <w:tcPr>
            <w:tcW w:w="0" w:type="auto"/>
            <w:tcBorders>
              <w:top w:val="nil"/>
              <w:left w:val="nil"/>
              <w:bottom w:val="single" w:sz="4" w:space="0" w:color="auto"/>
              <w:right w:val="single" w:sz="4" w:space="0" w:color="auto"/>
            </w:tcBorders>
            <w:shd w:val="clear" w:color="auto" w:fill="auto"/>
          </w:tcPr>
          <w:p w14:paraId="0A999CA8" w14:textId="77777777" w:rsidR="0003282E" w:rsidRPr="002F1F9B" w:rsidRDefault="0003282E" w:rsidP="00026E22">
            <w:pPr>
              <w:jc w:val="left"/>
              <w:rPr>
                <w:color w:val="000000"/>
                <w:sz w:val="20"/>
                <w:lang w:val="en-GB" w:eastAsia="en-GB"/>
              </w:rPr>
            </w:pPr>
            <w:r w:rsidRPr="002F1F9B">
              <w:rPr>
                <w:color w:val="000000"/>
                <w:sz w:val="20"/>
                <w:lang w:val="en-GB" w:eastAsia="en-GB"/>
              </w:rPr>
              <w:t>Sum insured</w:t>
            </w:r>
          </w:p>
        </w:tc>
        <w:tc>
          <w:tcPr>
            <w:tcW w:w="4761" w:type="dxa"/>
            <w:tcBorders>
              <w:top w:val="nil"/>
              <w:left w:val="nil"/>
              <w:bottom w:val="single" w:sz="4" w:space="0" w:color="auto"/>
              <w:right w:val="single" w:sz="4" w:space="0" w:color="auto"/>
            </w:tcBorders>
            <w:shd w:val="clear" w:color="auto" w:fill="auto"/>
          </w:tcPr>
          <w:p w14:paraId="421B9BF1" w14:textId="77777777" w:rsidR="0003282E" w:rsidRPr="002F1F9B" w:rsidRDefault="0003282E" w:rsidP="00026E22">
            <w:pPr>
              <w:jc w:val="left"/>
              <w:rPr>
                <w:sz w:val="20"/>
                <w:lang w:val="en-GB"/>
              </w:rPr>
            </w:pPr>
            <w:r w:rsidRPr="002F1F9B">
              <w:rPr>
                <w:color w:val="000000"/>
                <w:sz w:val="20"/>
                <w:lang w:val="en-GB" w:eastAsia="en-GB"/>
              </w:rPr>
              <w:t xml:space="preserve">The total sum insured for </w:t>
            </w:r>
            <w:r w:rsidRPr="002F1F9B">
              <w:rPr>
                <w:sz w:val="20"/>
                <w:lang w:val="en-GB"/>
              </w:rPr>
              <w:t xml:space="preserve">catastrophe risk shall be reported </w:t>
            </w:r>
            <w:r w:rsidRPr="002F1F9B">
              <w:rPr>
                <w:color w:val="000000"/>
                <w:sz w:val="20"/>
                <w:lang w:val="en-GB" w:eastAsia="en-GB"/>
              </w:rPr>
              <w:t xml:space="preserve">for the </w:t>
            </w:r>
            <w:r w:rsidRPr="002F1F9B">
              <w:rPr>
                <w:sz w:val="20"/>
                <w:lang w:val="en-GB"/>
              </w:rPr>
              <w:t>products of the life insurance portfolio that are sensitive to the relevant risk category.</w:t>
            </w:r>
          </w:p>
        </w:tc>
      </w:tr>
      <w:tr w:rsidR="00DA4F2B" w:rsidRPr="002F1F9B" w14:paraId="2E3C475C"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55" w14:textId="6146C82B" w:rsidR="00DA4F2B" w:rsidRPr="002F1F9B" w:rsidRDefault="008879E4" w:rsidP="00DA4F2B">
            <w:pPr>
              <w:jc w:val="left"/>
              <w:rPr>
                <w:color w:val="000000"/>
                <w:sz w:val="20"/>
                <w:lang w:val="en-GB" w:eastAsia="en-GB"/>
              </w:rPr>
            </w:pPr>
            <w:r w:rsidRPr="002F1F9B">
              <w:rPr>
                <w:color w:val="000000"/>
                <w:sz w:val="20"/>
                <w:lang w:val="en-GB" w:eastAsia="en-GB"/>
              </w:rPr>
              <w:t>LH_LIF_SCRTLC</w:t>
            </w:r>
            <w:r w:rsidR="00DA4F2B" w:rsidRPr="002F1F9B">
              <w:rPr>
                <w:color w:val="000000"/>
                <w:sz w:val="20"/>
                <w:lang w:val="en-GB" w:eastAsia="en-GB"/>
              </w:rPr>
              <w:t>_Rxx_C4</w:t>
            </w:r>
          </w:p>
          <w:p w14:paraId="2E3C4756" w14:textId="77777777" w:rsidR="00DA4F2B" w:rsidRPr="002F1F9B" w:rsidRDefault="00DA4F2B" w:rsidP="00DA4F2B">
            <w:pPr>
              <w:jc w:val="left"/>
              <w:rPr>
                <w:color w:val="000000"/>
                <w:sz w:val="20"/>
                <w:lang w:val="en-GB" w:eastAsia="en-GB"/>
              </w:rPr>
            </w:pPr>
          </w:p>
          <w:p w14:paraId="2E3C4757" w14:textId="6CB42CAA" w:rsidR="00DA4F2B" w:rsidRPr="002F1F9B" w:rsidRDefault="001B48AF" w:rsidP="00DA4F2B">
            <w:pPr>
              <w:jc w:val="left"/>
              <w:rPr>
                <w:color w:val="000000"/>
                <w:sz w:val="20"/>
                <w:lang w:val="en-GB" w:eastAsia="en-GB"/>
              </w:rPr>
            </w:pPr>
            <w:r w:rsidRPr="002F1F9B">
              <w:rPr>
                <w:color w:val="000000"/>
                <w:sz w:val="20"/>
                <w:lang w:val="en-GB" w:eastAsia="en-GB"/>
              </w:rPr>
              <w:t>xx = 1 (trend risk), 2 (level risk), 3 (catastrophe risk)</w:t>
            </w:r>
          </w:p>
        </w:tc>
        <w:tc>
          <w:tcPr>
            <w:tcW w:w="0" w:type="auto"/>
            <w:tcBorders>
              <w:top w:val="nil"/>
              <w:left w:val="nil"/>
              <w:bottom w:val="single" w:sz="4" w:space="0" w:color="auto"/>
              <w:right w:val="single" w:sz="4" w:space="0" w:color="auto"/>
            </w:tcBorders>
            <w:shd w:val="clear" w:color="auto" w:fill="auto"/>
          </w:tcPr>
          <w:p w14:paraId="2E3C4758" w14:textId="77777777" w:rsidR="00DA4F2B" w:rsidRPr="002F1F9B" w:rsidRDefault="00DA4F2B" w:rsidP="00DA4F2B">
            <w:pPr>
              <w:jc w:val="left"/>
              <w:rPr>
                <w:color w:val="000000"/>
                <w:sz w:val="20"/>
                <w:lang w:val="en-GB" w:eastAsia="en-GB"/>
              </w:rPr>
            </w:pPr>
            <w:r w:rsidRPr="002F1F9B">
              <w:rPr>
                <w:color w:val="000000"/>
                <w:sz w:val="20"/>
                <w:lang w:val="en-GB" w:eastAsia="en-GB"/>
              </w:rPr>
              <w:t>Solvency Capital Requirements</w:t>
            </w:r>
          </w:p>
        </w:tc>
        <w:tc>
          <w:tcPr>
            <w:tcW w:w="4761" w:type="dxa"/>
            <w:tcBorders>
              <w:top w:val="nil"/>
              <w:left w:val="nil"/>
              <w:bottom w:val="single" w:sz="4" w:space="0" w:color="auto"/>
              <w:right w:val="single" w:sz="4" w:space="0" w:color="auto"/>
            </w:tcBorders>
            <w:shd w:val="clear" w:color="auto" w:fill="auto"/>
          </w:tcPr>
          <w:p w14:paraId="7570C9C0" w14:textId="550CB40E" w:rsidR="006C39CF" w:rsidRPr="002F1F9B" w:rsidRDefault="006C39CF" w:rsidP="006C39CF">
            <w:pPr>
              <w:jc w:val="left"/>
              <w:rPr>
                <w:sz w:val="20"/>
                <w:lang w:val="en-GB" w:eastAsia="en-GB"/>
              </w:rPr>
            </w:pPr>
            <w:r w:rsidRPr="002F1F9B">
              <w:rPr>
                <w:sz w:val="20"/>
                <w:lang w:val="en-GB" w:eastAsia="en-GB"/>
              </w:rPr>
              <w:t xml:space="preserve">The SCR for the relevant risk category, </w:t>
            </w:r>
            <w:r w:rsidR="00663630">
              <w:rPr>
                <w:sz w:val="20"/>
                <w:lang w:val="en-GB" w:eastAsia="en-GB"/>
              </w:rPr>
              <w:t>net</w:t>
            </w:r>
            <w:r w:rsidRPr="002F1F9B">
              <w:rPr>
                <w:sz w:val="20"/>
                <w:lang w:val="en-GB" w:eastAsia="en-GB"/>
              </w:rPr>
              <w:t xml:space="preserve"> of reinsurance.</w:t>
            </w:r>
          </w:p>
          <w:p w14:paraId="2E3C475B" w14:textId="648F1141" w:rsidR="009F17BB" w:rsidRPr="002F1F9B" w:rsidRDefault="006C39CF" w:rsidP="009F17BB">
            <w:pPr>
              <w:jc w:val="left"/>
              <w:rPr>
                <w:sz w:val="20"/>
                <w:lang w:val="en-GB" w:eastAsia="en-GB"/>
              </w:rPr>
            </w:pPr>
            <w:r w:rsidRPr="002F1F9B">
              <w:rPr>
                <w:sz w:val="20"/>
                <w:lang w:val="en-GB" w:eastAsia="en-GB"/>
              </w:rPr>
              <w:t>For the aggregate risks</w:t>
            </w:r>
            <w:r w:rsidR="00D50063" w:rsidRPr="002F1F9B">
              <w:rPr>
                <w:sz w:val="20"/>
                <w:lang w:val="en-GB" w:eastAsia="en-GB"/>
              </w:rPr>
              <w:t>,</w:t>
            </w:r>
            <w:r w:rsidRPr="002F1F9B">
              <w:rPr>
                <w:sz w:val="20"/>
                <w:lang w:val="en-GB" w:eastAsia="en-GB"/>
              </w:rPr>
              <w:t xml:space="preserve"> the </w:t>
            </w:r>
            <w:r w:rsidR="00663630">
              <w:rPr>
                <w:sz w:val="20"/>
                <w:lang w:val="en-GB" w:eastAsia="en-GB"/>
              </w:rPr>
              <w:t xml:space="preserve">net </w:t>
            </w:r>
            <w:r w:rsidRPr="002F1F9B">
              <w:rPr>
                <w:sz w:val="20"/>
                <w:lang w:val="en-GB" w:eastAsia="en-GB"/>
              </w:rPr>
              <w:t xml:space="preserve">SCR after aggregation over the underlying submodules should be reported. </w:t>
            </w:r>
          </w:p>
        </w:tc>
      </w:tr>
      <w:tr w:rsidR="00DA4F2B" w:rsidRPr="002F1F9B" w14:paraId="2E3C4762"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5D" w14:textId="77777777" w:rsidR="00DA4F2B" w:rsidRPr="002F1F9B" w:rsidRDefault="00142F62" w:rsidP="00DA4F2B">
            <w:pPr>
              <w:jc w:val="left"/>
              <w:rPr>
                <w:color w:val="000000"/>
                <w:sz w:val="20"/>
                <w:lang w:val="en-GB" w:eastAsia="en-GB"/>
              </w:rPr>
            </w:pPr>
            <w:r w:rsidRPr="002F1F9B">
              <w:rPr>
                <w:color w:val="000000"/>
                <w:sz w:val="20"/>
                <w:lang w:val="en-GB" w:eastAsia="en-GB"/>
              </w:rPr>
              <w:t>LH_LIF_SP</w:t>
            </w:r>
            <w:r w:rsidR="008879E4" w:rsidRPr="002F1F9B">
              <w:rPr>
                <w:color w:val="000000"/>
                <w:sz w:val="20"/>
                <w:lang w:val="en-GB" w:eastAsia="en-GB"/>
              </w:rPr>
              <w:t>RTLC</w:t>
            </w:r>
            <w:r w:rsidR="00DA4F2B" w:rsidRPr="002F1F9B">
              <w:rPr>
                <w:color w:val="000000"/>
                <w:sz w:val="20"/>
                <w:lang w:val="en-GB" w:eastAsia="en-GB"/>
              </w:rPr>
              <w:t>_Rxx_C5</w:t>
            </w:r>
          </w:p>
          <w:p w14:paraId="2E3C475E" w14:textId="77777777" w:rsidR="00DA4F2B" w:rsidRPr="002F1F9B" w:rsidRDefault="00DA4F2B" w:rsidP="00DA4F2B">
            <w:pPr>
              <w:jc w:val="left"/>
              <w:rPr>
                <w:color w:val="000000"/>
                <w:sz w:val="20"/>
                <w:lang w:val="en-GB" w:eastAsia="en-GB"/>
              </w:rPr>
            </w:pPr>
          </w:p>
          <w:p w14:paraId="2E3C475F" w14:textId="37B37536" w:rsidR="00DA4F2B" w:rsidRPr="002F1F9B" w:rsidRDefault="001B48AF" w:rsidP="00DA4F2B">
            <w:pPr>
              <w:jc w:val="left"/>
              <w:rPr>
                <w:color w:val="000000"/>
                <w:sz w:val="20"/>
                <w:lang w:val="en-GB" w:eastAsia="en-GB"/>
              </w:rPr>
            </w:pPr>
            <w:r w:rsidRPr="002F1F9B">
              <w:rPr>
                <w:color w:val="000000"/>
                <w:sz w:val="20"/>
                <w:lang w:val="en-GB" w:eastAsia="en-GB"/>
              </w:rPr>
              <w:t>xx = 1 (trend risk), 2 (level risk), 3 (catastrophe risk)</w:t>
            </w:r>
          </w:p>
        </w:tc>
        <w:tc>
          <w:tcPr>
            <w:tcW w:w="0" w:type="auto"/>
            <w:tcBorders>
              <w:top w:val="nil"/>
              <w:left w:val="nil"/>
              <w:bottom w:val="single" w:sz="4" w:space="0" w:color="auto"/>
              <w:right w:val="single" w:sz="4" w:space="0" w:color="auto"/>
            </w:tcBorders>
            <w:shd w:val="clear" w:color="auto" w:fill="auto"/>
          </w:tcPr>
          <w:p w14:paraId="2E3C4760" w14:textId="77777777" w:rsidR="00DA4F2B" w:rsidRPr="002F1F9B" w:rsidRDefault="00DA4F2B" w:rsidP="00DA4F2B">
            <w:pPr>
              <w:jc w:val="left"/>
              <w:rPr>
                <w:color w:val="000000"/>
                <w:sz w:val="20"/>
                <w:lang w:val="en-GB" w:eastAsia="en-GB"/>
              </w:rPr>
            </w:pPr>
            <w:r w:rsidRPr="002F1F9B">
              <w:rPr>
                <w:color w:val="000000"/>
                <w:sz w:val="20"/>
                <w:lang w:val="en-GB" w:eastAsia="en-GB"/>
              </w:rPr>
              <w:t>Mean</w:t>
            </w:r>
          </w:p>
        </w:tc>
        <w:tc>
          <w:tcPr>
            <w:tcW w:w="4761" w:type="dxa"/>
            <w:tcBorders>
              <w:top w:val="nil"/>
              <w:left w:val="nil"/>
              <w:bottom w:val="single" w:sz="4" w:space="0" w:color="auto"/>
              <w:right w:val="single" w:sz="4" w:space="0" w:color="auto"/>
            </w:tcBorders>
            <w:shd w:val="clear" w:color="auto" w:fill="auto"/>
          </w:tcPr>
          <w:p w14:paraId="2E3C4761" w14:textId="77777777" w:rsidR="00DA4F2B" w:rsidRPr="002F1F9B" w:rsidRDefault="00DA4F2B" w:rsidP="00DA4F2B">
            <w:pPr>
              <w:jc w:val="left"/>
              <w:rPr>
                <w:color w:val="000000"/>
                <w:sz w:val="20"/>
                <w:lang w:val="en-GB" w:eastAsia="en-GB"/>
              </w:rPr>
            </w:pPr>
            <w:r w:rsidRPr="002F1F9B">
              <w:rPr>
                <w:color w:val="000000"/>
                <w:sz w:val="20"/>
                <w:lang w:val="en-GB" w:eastAsia="en-GB"/>
              </w:rPr>
              <w:t>The mean of the probability distribution of the SCR</w:t>
            </w:r>
          </w:p>
        </w:tc>
      </w:tr>
      <w:tr w:rsidR="00DA4F2B" w:rsidRPr="002F1F9B" w14:paraId="2E3C4769"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63" w14:textId="77777777" w:rsidR="00DA4F2B" w:rsidRPr="002F1F9B" w:rsidRDefault="00142F62" w:rsidP="00DA4F2B">
            <w:pPr>
              <w:jc w:val="left"/>
              <w:rPr>
                <w:color w:val="000000"/>
                <w:sz w:val="20"/>
                <w:lang w:val="en-GB" w:eastAsia="en-GB"/>
              </w:rPr>
            </w:pPr>
            <w:r w:rsidRPr="002F1F9B">
              <w:rPr>
                <w:color w:val="000000"/>
                <w:sz w:val="20"/>
                <w:lang w:val="en-GB" w:eastAsia="en-GB"/>
              </w:rPr>
              <w:t>LH_LIF_SP</w:t>
            </w:r>
            <w:r w:rsidR="008879E4" w:rsidRPr="002F1F9B">
              <w:rPr>
                <w:color w:val="000000"/>
                <w:sz w:val="20"/>
                <w:lang w:val="en-GB" w:eastAsia="en-GB"/>
              </w:rPr>
              <w:t>RTLC</w:t>
            </w:r>
            <w:r w:rsidR="00DA4F2B" w:rsidRPr="002F1F9B">
              <w:rPr>
                <w:color w:val="000000"/>
                <w:sz w:val="20"/>
                <w:lang w:val="en-GB" w:eastAsia="en-GB"/>
              </w:rPr>
              <w:t>_Rxx_C6</w:t>
            </w:r>
          </w:p>
          <w:p w14:paraId="2E3C4764" w14:textId="77777777" w:rsidR="00DA4F2B" w:rsidRPr="002F1F9B" w:rsidRDefault="00DA4F2B" w:rsidP="00DA4F2B">
            <w:pPr>
              <w:jc w:val="left"/>
              <w:rPr>
                <w:color w:val="000000"/>
                <w:sz w:val="20"/>
                <w:lang w:val="en-GB" w:eastAsia="en-GB"/>
              </w:rPr>
            </w:pPr>
          </w:p>
          <w:p w14:paraId="2E3C4765" w14:textId="6CE11E01" w:rsidR="00DA4F2B" w:rsidRPr="002F1F9B" w:rsidRDefault="001B48AF" w:rsidP="00DA4F2B">
            <w:pPr>
              <w:jc w:val="left"/>
              <w:rPr>
                <w:color w:val="000000"/>
                <w:sz w:val="20"/>
                <w:lang w:val="en-GB" w:eastAsia="en-GB"/>
              </w:rPr>
            </w:pPr>
            <w:r w:rsidRPr="002F1F9B">
              <w:rPr>
                <w:color w:val="000000"/>
                <w:sz w:val="20"/>
                <w:lang w:val="en-GB" w:eastAsia="en-GB"/>
              </w:rPr>
              <w:t>xx = 1 (trend risk), 2 (level risk), 3 (catastrophe risk)</w:t>
            </w:r>
          </w:p>
        </w:tc>
        <w:tc>
          <w:tcPr>
            <w:tcW w:w="0" w:type="auto"/>
            <w:tcBorders>
              <w:top w:val="nil"/>
              <w:left w:val="nil"/>
              <w:bottom w:val="single" w:sz="4" w:space="0" w:color="auto"/>
              <w:right w:val="single" w:sz="4" w:space="0" w:color="auto"/>
            </w:tcBorders>
            <w:shd w:val="clear" w:color="auto" w:fill="auto"/>
          </w:tcPr>
          <w:p w14:paraId="2E3C4766" w14:textId="77777777" w:rsidR="00DA4F2B" w:rsidRPr="002F1F9B" w:rsidRDefault="00DA4F2B" w:rsidP="00DA4F2B">
            <w:pPr>
              <w:jc w:val="left"/>
              <w:rPr>
                <w:color w:val="000000"/>
                <w:sz w:val="20"/>
                <w:lang w:val="en-GB" w:eastAsia="en-GB"/>
              </w:rPr>
            </w:pPr>
            <w:r w:rsidRPr="002F1F9B">
              <w:rPr>
                <w:color w:val="000000"/>
                <w:sz w:val="20"/>
                <w:lang w:val="en-GB" w:eastAsia="en-GB"/>
              </w:rPr>
              <w:t>Standard deviation</w:t>
            </w:r>
          </w:p>
        </w:tc>
        <w:tc>
          <w:tcPr>
            <w:tcW w:w="4761" w:type="dxa"/>
            <w:tcBorders>
              <w:top w:val="nil"/>
              <w:left w:val="nil"/>
              <w:bottom w:val="single" w:sz="4" w:space="0" w:color="auto"/>
              <w:right w:val="single" w:sz="4" w:space="0" w:color="auto"/>
            </w:tcBorders>
            <w:shd w:val="clear" w:color="auto" w:fill="auto"/>
          </w:tcPr>
          <w:p w14:paraId="2E3C4768" w14:textId="36BB7425" w:rsidR="00DA4F2B" w:rsidRPr="002F1F9B" w:rsidRDefault="00DA4F2B" w:rsidP="00DA4F2B">
            <w:pPr>
              <w:jc w:val="left"/>
              <w:rPr>
                <w:color w:val="000000"/>
                <w:sz w:val="20"/>
                <w:lang w:val="en-GB" w:eastAsia="en-GB"/>
              </w:rPr>
            </w:pPr>
            <w:r w:rsidRPr="002F1F9B">
              <w:rPr>
                <w:color w:val="000000"/>
                <w:sz w:val="20"/>
                <w:lang w:val="en-GB" w:eastAsia="en-GB"/>
              </w:rPr>
              <w:t xml:space="preserve">The Standard deviation of the probability distribution of the </w:t>
            </w:r>
            <w:r w:rsidR="00663630">
              <w:rPr>
                <w:color w:val="000000"/>
                <w:sz w:val="20"/>
                <w:lang w:val="en-GB" w:eastAsia="en-GB"/>
              </w:rPr>
              <w:t xml:space="preserve">net </w:t>
            </w:r>
            <w:r w:rsidRPr="002F1F9B">
              <w:rPr>
                <w:color w:val="000000"/>
                <w:sz w:val="20"/>
                <w:lang w:val="en-GB" w:eastAsia="en-GB"/>
              </w:rPr>
              <w:t>SCR</w:t>
            </w:r>
          </w:p>
        </w:tc>
      </w:tr>
      <w:tr w:rsidR="00DA4F2B" w:rsidRPr="002F1F9B" w14:paraId="2E3C4771"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6A" w14:textId="77777777" w:rsidR="00DA4F2B" w:rsidRPr="002F1F9B" w:rsidRDefault="00142F62" w:rsidP="00DA4F2B">
            <w:pPr>
              <w:jc w:val="left"/>
              <w:rPr>
                <w:color w:val="000000"/>
                <w:sz w:val="20"/>
                <w:lang w:val="en-GB" w:eastAsia="en-GB"/>
              </w:rPr>
            </w:pPr>
            <w:proofErr w:type="spellStart"/>
            <w:r w:rsidRPr="002F1F9B">
              <w:rPr>
                <w:color w:val="000000"/>
                <w:sz w:val="20"/>
                <w:lang w:val="en-GB" w:eastAsia="en-GB"/>
              </w:rPr>
              <w:t>LH_LIF_PCT</w:t>
            </w:r>
            <w:r w:rsidR="008879E4" w:rsidRPr="002F1F9B">
              <w:rPr>
                <w:color w:val="000000"/>
                <w:sz w:val="20"/>
                <w:lang w:val="en-GB" w:eastAsia="en-GB"/>
              </w:rPr>
              <w:t>TLC</w:t>
            </w:r>
            <w:r w:rsidR="00DA4F2B" w:rsidRPr="002F1F9B">
              <w:rPr>
                <w:color w:val="000000"/>
                <w:sz w:val="20"/>
                <w:lang w:val="en-GB" w:eastAsia="en-GB"/>
              </w:rPr>
              <w:t>_Rxx_Cyy</w:t>
            </w:r>
            <w:proofErr w:type="spellEnd"/>
          </w:p>
          <w:p w14:paraId="2E3C476B" w14:textId="77777777" w:rsidR="00DA4F2B" w:rsidRPr="002F1F9B" w:rsidRDefault="00DA4F2B" w:rsidP="00DA4F2B">
            <w:pPr>
              <w:jc w:val="left"/>
              <w:rPr>
                <w:color w:val="000000"/>
                <w:sz w:val="20"/>
                <w:lang w:val="en-GB" w:eastAsia="en-GB"/>
              </w:rPr>
            </w:pPr>
          </w:p>
          <w:p w14:paraId="0AD79D2E" w14:textId="77777777" w:rsidR="001B48AF" w:rsidRPr="002F1F9B" w:rsidRDefault="001B48AF" w:rsidP="00DA4F2B">
            <w:pPr>
              <w:jc w:val="left"/>
              <w:rPr>
                <w:color w:val="000000"/>
                <w:sz w:val="20"/>
                <w:lang w:val="en-GB" w:eastAsia="en-GB"/>
              </w:rPr>
            </w:pPr>
            <w:r w:rsidRPr="002F1F9B">
              <w:rPr>
                <w:color w:val="000000"/>
                <w:sz w:val="20"/>
                <w:lang w:val="en-GB" w:eastAsia="en-GB"/>
              </w:rPr>
              <w:t>xx = 1 (trend risk), 2 (level risk), 3 (catastrophe risk)</w:t>
            </w:r>
          </w:p>
          <w:p w14:paraId="2E3C476D" w14:textId="6F3ECC1B" w:rsidR="00DA4F2B" w:rsidRPr="002F1F9B" w:rsidRDefault="00DA4F2B" w:rsidP="00DA4F2B">
            <w:pPr>
              <w:jc w:val="left"/>
              <w:rPr>
                <w:color w:val="000000"/>
                <w:sz w:val="20"/>
                <w:lang w:val="en-GB" w:eastAsia="en-GB"/>
              </w:rPr>
            </w:pPr>
            <w:proofErr w:type="spellStart"/>
            <w:r w:rsidRPr="002F1F9B">
              <w:rPr>
                <w:color w:val="000000"/>
                <w:sz w:val="20"/>
                <w:lang w:val="en-GB" w:eastAsia="en-GB"/>
              </w:rPr>
              <w:t>yy</w:t>
            </w:r>
            <w:proofErr w:type="spellEnd"/>
            <w:r w:rsidR="00FC1164" w:rsidRPr="002F1F9B">
              <w:rPr>
                <w:color w:val="000000"/>
                <w:sz w:val="20"/>
                <w:lang w:val="en-GB" w:eastAsia="en-GB"/>
              </w:rPr>
              <w:t xml:space="preserve"> </w:t>
            </w:r>
            <w:r w:rsidRPr="002F1F9B">
              <w:rPr>
                <w:color w:val="000000"/>
                <w:sz w:val="20"/>
                <w:lang w:val="en-GB" w:eastAsia="en-GB"/>
              </w:rPr>
              <w:t>= 7 to 23</w:t>
            </w:r>
          </w:p>
        </w:tc>
        <w:tc>
          <w:tcPr>
            <w:tcW w:w="0" w:type="auto"/>
            <w:tcBorders>
              <w:top w:val="nil"/>
              <w:left w:val="nil"/>
              <w:bottom w:val="single" w:sz="4" w:space="0" w:color="auto"/>
              <w:right w:val="single" w:sz="4" w:space="0" w:color="auto"/>
            </w:tcBorders>
            <w:shd w:val="clear" w:color="auto" w:fill="auto"/>
          </w:tcPr>
          <w:p w14:paraId="2E3C476E" w14:textId="39D2AD3B" w:rsidR="00DA4F2B" w:rsidRPr="002F1F9B" w:rsidRDefault="00DA4F2B" w:rsidP="0003282E">
            <w:pPr>
              <w:jc w:val="left"/>
              <w:rPr>
                <w:color w:val="000000"/>
                <w:sz w:val="20"/>
                <w:lang w:val="en-GB" w:eastAsia="en-GB"/>
              </w:rPr>
            </w:pPr>
            <w:r w:rsidRPr="002F1F9B">
              <w:rPr>
                <w:color w:val="000000"/>
                <w:sz w:val="20"/>
                <w:lang w:val="en-GB" w:eastAsia="en-GB"/>
              </w:rPr>
              <w:t>Percentiles from 0.001 to 0.999</w:t>
            </w:r>
            <w:r w:rsidR="0074666D" w:rsidRPr="002F1F9B">
              <w:rPr>
                <w:color w:val="000000"/>
                <w:sz w:val="20"/>
                <w:lang w:val="en-GB" w:eastAsia="en-GB"/>
              </w:rPr>
              <w:t xml:space="preserve"> (see </w:t>
            </w:r>
            <w:r w:rsidR="0003282E" w:rsidRPr="002F1F9B">
              <w:rPr>
                <w:color w:val="000000"/>
                <w:sz w:val="20"/>
                <w:lang w:val="en-GB" w:eastAsia="en-GB"/>
              </w:rPr>
              <w:t xml:space="preserve">required percentiles in </w:t>
            </w:r>
            <w:r w:rsidR="0074666D" w:rsidRPr="002F1F9B">
              <w:rPr>
                <w:color w:val="000000"/>
                <w:sz w:val="20"/>
                <w:lang w:val="en-GB" w:eastAsia="en-GB"/>
              </w:rPr>
              <w:t>Annex XII )</w:t>
            </w:r>
          </w:p>
        </w:tc>
        <w:tc>
          <w:tcPr>
            <w:tcW w:w="4761" w:type="dxa"/>
            <w:tcBorders>
              <w:top w:val="nil"/>
              <w:left w:val="nil"/>
              <w:bottom w:val="single" w:sz="4" w:space="0" w:color="auto"/>
              <w:right w:val="single" w:sz="4" w:space="0" w:color="auto"/>
            </w:tcBorders>
            <w:shd w:val="clear" w:color="auto" w:fill="auto"/>
          </w:tcPr>
          <w:p w14:paraId="2E3C4770" w14:textId="1B30F63B" w:rsidR="00DA4F2B" w:rsidRPr="002F1F9B" w:rsidRDefault="00DA4F2B" w:rsidP="00663630">
            <w:pPr>
              <w:jc w:val="left"/>
              <w:rPr>
                <w:color w:val="000000"/>
                <w:sz w:val="20"/>
                <w:lang w:val="en-GB" w:eastAsia="en-GB"/>
              </w:rPr>
            </w:pPr>
            <w:r w:rsidRPr="002F1F9B">
              <w:rPr>
                <w:color w:val="000000"/>
                <w:sz w:val="20"/>
                <w:lang w:val="en-GB" w:eastAsia="en-GB"/>
              </w:rPr>
              <w:t>It is expected that the insurance and reinsurance undertakings indicate the amounts of the percentiles required in the table related to the probability distribution obtained based on the simulation process (</w:t>
            </w:r>
            <w:r w:rsidR="00663630">
              <w:rPr>
                <w:color w:val="000000"/>
                <w:sz w:val="20"/>
                <w:lang w:val="en-GB" w:eastAsia="en-GB"/>
              </w:rPr>
              <w:t>net</w:t>
            </w:r>
            <w:r w:rsidRPr="002F1F9B">
              <w:rPr>
                <w:color w:val="000000"/>
                <w:sz w:val="20"/>
                <w:lang w:val="en-GB" w:eastAsia="en-GB"/>
              </w:rPr>
              <w:t xml:space="preserve"> of reinsurance and on discounted basis).</w:t>
            </w:r>
          </w:p>
        </w:tc>
      </w:tr>
      <w:tr w:rsidR="00DA4F2B" w:rsidRPr="002F1F9B" w14:paraId="2E3C4783" w14:textId="77777777" w:rsidTr="00946E79">
        <w:trPr>
          <w:trHeight w:val="315"/>
        </w:trPr>
        <w:tc>
          <w:tcPr>
            <w:tcW w:w="9782" w:type="dxa"/>
            <w:gridSpan w:val="3"/>
            <w:tcBorders>
              <w:top w:val="single" w:sz="8" w:space="0" w:color="auto"/>
              <w:left w:val="single" w:sz="8" w:space="0" w:color="auto"/>
              <w:bottom w:val="single" w:sz="8" w:space="0" w:color="auto"/>
              <w:right w:val="single" w:sz="8" w:space="0" w:color="000000"/>
            </w:tcBorders>
            <w:shd w:val="clear" w:color="auto" w:fill="auto"/>
            <w:noWrap/>
            <w:hideMark/>
          </w:tcPr>
          <w:p w14:paraId="2E3C4782" w14:textId="77777777" w:rsidR="00DA4F2B" w:rsidRPr="002F1F9B" w:rsidRDefault="00DA4F2B" w:rsidP="00DA4F2B">
            <w:pPr>
              <w:jc w:val="left"/>
              <w:rPr>
                <w:b/>
                <w:bCs/>
                <w:color w:val="000000"/>
                <w:sz w:val="20"/>
                <w:lang w:val="en-GB" w:eastAsia="en-GB"/>
              </w:rPr>
            </w:pPr>
            <w:r w:rsidRPr="002F1F9B">
              <w:rPr>
                <w:b/>
                <w:bCs/>
                <w:color w:val="000000"/>
                <w:sz w:val="20"/>
                <w:lang w:val="en-GB" w:eastAsia="en-GB"/>
              </w:rPr>
              <w:t xml:space="preserve">HEALTH RISK </w:t>
            </w:r>
          </w:p>
        </w:tc>
      </w:tr>
      <w:tr w:rsidR="00946BAF" w:rsidRPr="002F1F9B" w14:paraId="2E3C4787"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84" w14:textId="77777777" w:rsidR="00946BAF" w:rsidRPr="002F1F9B" w:rsidRDefault="00946BAF" w:rsidP="00DA4F2B">
            <w:pPr>
              <w:jc w:val="left"/>
              <w:rPr>
                <w:color w:val="000000"/>
                <w:sz w:val="20"/>
                <w:lang w:val="en-GB" w:eastAsia="en-GB"/>
              </w:rPr>
            </w:pPr>
            <w:r w:rsidRPr="002F1F9B">
              <w:rPr>
                <w:color w:val="000000"/>
                <w:sz w:val="20"/>
                <w:lang w:val="en-GB" w:eastAsia="en-GB"/>
              </w:rPr>
              <w:t>LH_QUE_XXX_R1_C1</w:t>
            </w:r>
          </w:p>
        </w:tc>
        <w:tc>
          <w:tcPr>
            <w:tcW w:w="0" w:type="auto"/>
            <w:tcBorders>
              <w:top w:val="nil"/>
              <w:left w:val="nil"/>
              <w:bottom w:val="single" w:sz="4" w:space="0" w:color="auto"/>
              <w:right w:val="single" w:sz="4" w:space="0" w:color="auto"/>
            </w:tcBorders>
            <w:shd w:val="clear" w:color="auto" w:fill="auto"/>
          </w:tcPr>
          <w:p w14:paraId="2E3C4785" w14:textId="77777777" w:rsidR="00946BAF" w:rsidRPr="002F1F9B" w:rsidRDefault="00946BAF" w:rsidP="00DA4F2B">
            <w:pPr>
              <w:jc w:val="left"/>
              <w:rPr>
                <w:color w:val="000000"/>
                <w:sz w:val="20"/>
                <w:lang w:val="en-GB" w:eastAsia="en-GB"/>
              </w:rPr>
            </w:pPr>
            <w:r w:rsidRPr="002F1F9B">
              <w:rPr>
                <w:color w:val="000000"/>
                <w:sz w:val="20"/>
                <w:lang w:val="en-GB" w:eastAsia="en-GB"/>
              </w:rPr>
              <w:t>Type of Health risk modelled in Life &amp; Health?</w:t>
            </w:r>
          </w:p>
        </w:tc>
        <w:tc>
          <w:tcPr>
            <w:tcW w:w="4761" w:type="dxa"/>
            <w:tcBorders>
              <w:top w:val="nil"/>
              <w:left w:val="nil"/>
              <w:bottom w:val="single" w:sz="4" w:space="0" w:color="auto"/>
              <w:right w:val="single" w:sz="4" w:space="0" w:color="auto"/>
            </w:tcBorders>
            <w:shd w:val="clear" w:color="auto" w:fill="auto"/>
          </w:tcPr>
          <w:p w14:paraId="496F40C3" w14:textId="77777777" w:rsidR="00614C59" w:rsidRPr="002F1F9B" w:rsidRDefault="00614C59" w:rsidP="00DA4F2B">
            <w:pPr>
              <w:rPr>
                <w:sz w:val="20"/>
                <w:lang w:val="en-GB"/>
              </w:rPr>
            </w:pPr>
            <w:r w:rsidRPr="002F1F9B">
              <w:rPr>
                <w:sz w:val="20"/>
                <w:lang w:val="en-GB"/>
              </w:rPr>
              <w:t>In the closed list there are 3 options:</w:t>
            </w:r>
          </w:p>
          <w:p w14:paraId="2E3C4786" w14:textId="443E7D2A" w:rsidR="00946BAF" w:rsidRPr="002F1F9B" w:rsidRDefault="00614C59" w:rsidP="00DA4F2B">
            <w:pPr>
              <w:rPr>
                <w:sz w:val="20"/>
                <w:lang w:val="en-GB"/>
              </w:rPr>
            </w:pPr>
            <w:r w:rsidRPr="002F1F9B">
              <w:rPr>
                <w:sz w:val="20"/>
                <w:lang w:val="en-GB"/>
              </w:rPr>
              <w:t>SLT, NSLT and SLT+NSLT</w:t>
            </w:r>
          </w:p>
        </w:tc>
      </w:tr>
      <w:tr w:rsidR="00DA4F2B" w:rsidRPr="002F1F9B" w14:paraId="2E3C4792"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88" w14:textId="4C145CF2" w:rsidR="00DA4F2B" w:rsidRPr="002F1F9B" w:rsidRDefault="00DA4F2B" w:rsidP="00DA4F2B">
            <w:pPr>
              <w:jc w:val="left"/>
              <w:rPr>
                <w:color w:val="000000"/>
                <w:sz w:val="20"/>
                <w:lang w:val="en-GB" w:eastAsia="en-GB"/>
              </w:rPr>
            </w:pPr>
            <w:r w:rsidRPr="002F1F9B">
              <w:rPr>
                <w:color w:val="000000"/>
                <w:sz w:val="20"/>
                <w:lang w:val="en-GB" w:eastAsia="en-GB"/>
              </w:rPr>
              <w:lastRenderedPageBreak/>
              <w:t>LH</w:t>
            </w:r>
            <w:r w:rsidR="00762DB1" w:rsidRPr="002F1F9B">
              <w:rPr>
                <w:color w:val="000000"/>
                <w:sz w:val="20"/>
                <w:lang w:val="en-GB" w:eastAsia="en-GB"/>
              </w:rPr>
              <w:t>_HLT_</w:t>
            </w:r>
            <w:r w:rsidRPr="002F1F9B">
              <w:rPr>
                <w:color w:val="000000"/>
                <w:sz w:val="20"/>
                <w:lang w:val="en-GB" w:eastAsia="en-GB"/>
              </w:rPr>
              <w:t>EXP_</w:t>
            </w:r>
            <w:r w:rsidR="00051B57" w:rsidRPr="002F1F9B">
              <w:rPr>
                <w:color w:val="000000"/>
                <w:sz w:val="20"/>
                <w:lang w:val="en-GB" w:eastAsia="en-GB"/>
              </w:rPr>
              <w:t>R</w:t>
            </w:r>
            <w:r w:rsidRPr="002F1F9B">
              <w:rPr>
                <w:color w:val="000000"/>
                <w:sz w:val="20"/>
                <w:lang w:val="en-GB" w:eastAsia="en-GB"/>
              </w:rPr>
              <w:t>xx_C1</w:t>
            </w:r>
          </w:p>
          <w:p w14:paraId="2E3C4789" w14:textId="77777777" w:rsidR="00051B57" w:rsidRPr="002F1F9B" w:rsidRDefault="009B521D" w:rsidP="00DA4F2B">
            <w:pPr>
              <w:jc w:val="left"/>
              <w:rPr>
                <w:color w:val="000000"/>
                <w:sz w:val="20"/>
                <w:lang w:val="en-GB" w:eastAsia="en-GB"/>
              </w:rPr>
            </w:pPr>
            <w:r w:rsidRPr="002F1F9B">
              <w:rPr>
                <w:color w:val="000000"/>
                <w:sz w:val="20"/>
                <w:lang w:val="en-GB" w:eastAsia="en-GB"/>
              </w:rPr>
              <w:t>LH</w:t>
            </w:r>
            <w:r w:rsidR="00762DB1" w:rsidRPr="002F1F9B">
              <w:rPr>
                <w:color w:val="000000"/>
                <w:sz w:val="20"/>
                <w:lang w:val="en-GB" w:eastAsia="en-GB"/>
              </w:rPr>
              <w:t>_HLT_</w:t>
            </w:r>
            <w:r w:rsidRPr="002F1F9B">
              <w:rPr>
                <w:color w:val="000000"/>
                <w:sz w:val="20"/>
                <w:lang w:val="en-GB" w:eastAsia="en-GB"/>
              </w:rPr>
              <w:t>AP</w:t>
            </w:r>
            <w:r w:rsidR="008503F4" w:rsidRPr="002F1F9B">
              <w:rPr>
                <w:color w:val="000000"/>
                <w:sz w:val="20"/>
                <w:lang w:val="en-GB" w:eastAsia="en-GB"/>
              </w:rPr>
              <w:t>O_Ryy_C1</w:t>
            </w:r>
          </w:p>
          <w:p w14:paraId="2E3C478A" w14:textId="77777777" w:rsidR="008503F4" w:rsidRPr="002F1F9B" w:rsidRDefault="008503F4" w:rsidP="008503F4">
            <w:pPr>
              <w:jc w:val="left"/>
              <w:rPr>
                <w:color w:val="000000"/>
                <w:sz w:val="20"/>
                <w:lang w:val="en-GB" w:eastAsia="en-GB"/>
              </w:rPr>
            </w:pPr>
            <w:r w:rsidRPr="002F1F9B">
              <w:rPr>
                <w:color w:val="000000"/>
                <w:sz w:val="20"/>
                <w:lang w:val="en-GB" w:eastAsia="en-GB"/>
              </w:rPr>
              <w:t>LH</w:t>
            </w:r>
            <w:r w:rsidR="00762DB1" w:rsidRPr="002F1F9B">
              <w:rPr>
                <w:color w:val="000000"/>
                <w:sz w:val="20"/>
                <w:lang w:val="en-GB" w:eastAsia="en-GB"/>
              </w:rPr>
              <w:t>_HLT_</w:t>
            </w:r>
            <w:r w:rsidRPr="002F1F9B">
              <w:rPr>
                <w:color w:val="000000"/>
                <w:sz w:val="20"/>
                <w:lang w:val="en-GB" w:eastAsia="en-GB"/>
              </w:rPr>
              <w:t>ANPO_Ryy_C2</w:t>
            </w:r>
          </w:p>
          <w:p w14:paraId="2E3C478B" w14:textId="77777777" w:rsidR="00051B57" w:rsidRPr="002F1F9B" w:rsidRDefault="00051B57" w:rsidP="00DA4F2B">
            <w:pPr>
              <w:jc w:val="left"/>
              <w:rPr>
                <w:color w:val="000000"/>
                <w:sz w:val="20"/>
                <w:lang w:val="en-GB" w:eastAsia="en-GB"/>
              </w:rPr>
            </w:pPr>
          </w:p>
          <w:p w14:paraId="2E3C478C" w14:textId="4062EA09" w:rsidR="00051B57" w:rsidRPr="002F1F9B" w:rsidRDefault="00051B57" w:rsidP="00DA4F2B">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1,</w:t>
            </w:r>
            <w:r w:rsidR="0003282E" w:rsidRPr="002F1F9B">
              <w:rPr>
                <w:color w:val="000000"/>
                <w:sz w:val="20"/>
                <w:lang w:val="en-GB" w:eastAsia="en-GB"/>
              </w:rPr>
              <w:t xml:space="preserve"> </w:t>
            </w:r>
            <w:r w:rsidR="00F80BAE">
              <w:rPr>
                <w:color w:val="000000"/>
                <w:sz w:val="20"/>
                <w:lang w:val="en-GB" w:eastAsia="en-GB"/>
              </w:rPr>
              <w:t>6, 26</w:t>
            </w:r>
          </w:p>
          <w:p w14:paraId="2E3C478D" w14:textId="3268A52D" w:rsidR="009B521D" w:rsidRPr="002F1F9B" w:rsidRDefault="009B521D" w:rsidP="008503F4">
            <w:pPr>
              <w:jc w:val="left"/>
              <w:rPr>
                <w:color w:val="000000"/>
                <w:sz w:val="20"/>
                <w:lang w:val="en-GB" w:eastAsia="en-GB"/>
              </w:rPr>
            </w:pPr>
            <w:proofErr w:type="spellStart"/>
            <w:r w:rsidRPr="002F1F9B">
              <w:rPr>
                <w:color w:val="000000"/>
                <w:sz w:val="20"/>
                <w:lang w:val="en-GB" w:eastAsia="en-GB"/>
              </w:rPr>
              <w:t>yy</w:t>
            </w:r>
            <w:proofErr w:type="spellEnd"/>
            <w:r w:rsidR="00FC1164" w:rsidRPr="002F1F9B">
              <w:rPr>
                <w:color w:val="000000"/>
                <w:sz w:val="20"/>
                <w:lang w:val="en-GB" w:eastAsia="en-GB"/>
              </w:rPr>
              <w:t xml:space="preserve"> </w:t>
            </w:r>
            <w:r w:rsidRPr="002F1F9B">
              <w:rPr>
                <w:color w:val="000000"/>
                <w:sz w:val="20"/>
                <w:lang w:val="en-GB" w:eastAsia="en-GB"/>
              </w:rPr>
              <w:t xml:space="preserve">= </w:t>
            </w:r>
            <w:r w:rsidR="00F80BAE">
              <w:rPr>
                <w:color w:val="000000"/>
                <w:sz w:val="20"/>
                <w:lang w:val="en-GB" w:eastAsia="en-GB"/>
              </w:rPr>
              <w:t>11</w:t>
            </w:r>
            <w:r w:rsidRPr="002F1F9B">
              <w:rPr>
                <w:color w:val="000000"/>
                <w:sz w:val="20"/>
                <w:lang w:val="en-GB" w:eastAsia="en-GB"/>
              </w:rPr>
              <w:t xml:space="preserve"> to </w:t>
            </w:r>
            <w:r w:rsidR="00F80BAE">
              <w:rPr>
                <w:color w:val="000000"/>
                <w:sz w:val="20"/>
                <w:lang w:val="en-GB" w:eastAsia="en-GB"/>
              </w:rPr>
              <w:t>16</w:t>
            </w:r>
          </w:p>
        </w:tc>
        <w:tc>
          <w:tcPr>
            <w:tcW w:w="0" w:type="auto"/>
            <w:tcBorders>
              <w:top w:val="nil"/>
              <w:left w:val="nil"/>
              <w:bottom w:val="single" w:sz="4" w:space="0" w:color="auto"/>
              <w:right w:val="single" w:sz="4" w:space="0" w:color="auto"/>
            </w:tcBorders>
            <w:shd w:val="clear" w:color="auto" w:fill="auto"/>
            <w:hideMark/>
          </w:tcPr>
          <w:p w14:paraId="2E3C478E" w14:textId="77777777" w:rsidR="00DA4F2B" w:rsidRPr="002F1F9B" w:rsidRDefault="00DA4F2B" w:rsidP="00DA4F2B">
            <w:pPr>
              <w:jc w:val="left"/>
              <w:rPr>
                <w:color w:val="000000"/>
                <w:sz w:val="20"/>
                <w:lang w:val="en-GB" w:eastAsia="en-GB"/>
              </w:rPr>
            </w:pPr>
            <w:r w:rsidRPr="002F1F9B">
              <w:rPr>
                <w:color w:val="000000"/>
                <w:sz w:val="20"/>
                <w:lang w:val="en-GB" w:eastAsia="en-GB"/>
              </w:rPr>
              <w:t>Net Best Estimate liability + Technical provisions calculated as a whole</w:t>
            </w:r>
          </w:p>
        </w:tc>
        <w:tc>
          <w:tcPr>
            <w:tcW w:w="4761" w:type="dxa"/>
            <w:tcBorders>
              <w:top w:val="nil"/>
              <w:left w:val="nil"/>
              <w:bottom w:val="single" w:sz="4" w:space="0" w:color="auto"/>
              <w:right w:val="single" w:sz="4" w:space="0" w:color="auto"/>
            </w:tcBorders>
            <w:shd w:val="clear" w:color="auto" w:fill="auto"/>
            <w:hideMark/>
          </w:tcPr>
          <w:p w14:paraId="1AEBFA29" w14:textId="0C797DB6" w:rsidR="006C39CF" w:rsidRPr="002F1F9B" w:rsidRDefault="006C39CF" w:rsidP="006C39CF">
            <w:pPr>
              <w:rPr>
                <w:sz w:val="20"/>
                <w:lang w:val="en-GB"/>
              </w:rPr>
            </w:pPr>
            <w:r w:rsidRPr="002F1F9B">
              <w:rPr>
                <w:sz w:val="20"/>
                <w:lang w:val="en-GB"/>
              </w:rPr>
              <w:t xml:space="preserve">Best estimate shall be reported net of reinsurance and refers to the products of the </w:t>
            </w:r>
            <w:r w:rsidR="00D50063" w:rsidRPr="002F1F9B">
              <w:rPr>
                <w:sz w:val="20"/>
                <w:lang w:val="en-GB"/>
              </w:rPr>
              <w:t xml:space="preserve">health </w:t>
            </w:r>
            <w:r w:rsidRPr="002F1F9B">
              <w:rPr>
                <w:sz w:val="20"/>
                <w:lang w:val="en-GB"/>
              </w:rPr>
              <w:t>insurance portfolio that are sensitive to the relevant risk category. TP</w:t>
            </w:r>
            <w:r w:rsidR="0003282E" w:rsidRPr="002F1F9B">
              <w:rPr>
                <w:sz w:val="20"/>
                <w:lang w:val="en-GB"/>
              </w:rPr>
              <w:t>s</w:t>
            </w:r>
            <w:r w:rsidRPr="002F1F9B">
              <w:rPr>
                <w:sz w:val="20"/>
                <w:lang w:val="en-GB"/>
              </w:rPr>
              <w:t xml:space="preserve"> calculated as a whole should be taken in as well.</w:t>
            </w:r>
          </w:p>
          <w:p w14:paraId="2E3C4791" w14:textId="662F4644" w:rsidR="00DA4F2B" w:rsidRPr="002F1F9B" w:rsidRDefault="006C39CF" w:rsidP="00946E79">
            <w:pPr>
              <w:rPr>
                <w:sz w:val="20"/>
                <w:lang w:val="en-GB"/>
              </w:rPr>
            </w:pPr>
            <w:r w:rsidRPr="002F1F9B">
              <w:rPr>
                <w:sz w:val="20"/>
                <w:lang w:val="en-GB"/>
              </w:rPr>
              <w:t>The split for disability-morbidity risk aggregate refers to annuities paid out</w:t>
            </w:r>
            <w:r w:rsidR="0003282E" w:rsidRPr="002F1F9B">
              <w:rPr>
                <w:sz w:val="20"/>
                <w:lang w:val="en-GB"/>
              </w:rPr>
              <w:t xml:space="preserve"> (“APO”)</w:t>
            </w:r>
            <w:r w:rsidRPr="002F1F9B">
              <w:rPr>
                <w:sz w:val="20"/>
                <w:lang w:val="en-GB"/>
              </w:rPr>
              <w:t xml:space="preserve"> or not</w:t>
            </w:r>
            <w:r w:rsidR="0003282E" w:rsidRPr="002F1F9B">
              <w:rPr>
                <w:sz w:val="20"/>
                <w:lang w:val="en-GB"/>
              </w:rPr>
              <w:t xml:space="preserve"> (“ANPO”).</w:t>
            </w:r>
          </w:p>
        </w:tc>
      </w:tr>
      <w:tr w:rsidR="00DA4F2B" w:rsidRPr="002F1F9B" w14:paraId="2E3C4799"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noWrap/>
          </w:tcPr>
          <w:p w14:paraId="2E3C4793" w14:textId="77777777" w:rsidR="00DA4F2B" w:rsidRPr="002F1F9B" w:rsidRDefault="00051B57" w:rsidP="00DA4F2B">
            <w:pPr>
              <w:jc w:val="left"/>
              <w:rPr>
                <w:color w:val="000000"/>
                <w:sz w:val="20"/>
                <w:lang w:val="en-GB" w:eastAsia="en-GB"/>
              </w:rPr>
            </w:pPr>
            <w:r w:rsidRPr="002F1F9B">
              <w:rPr>
                <w:color w:val="000000"/>
                <w:sz w:val="20"/>
                <w:lang w:val="en-GB" w:eastAsia="en-GB"/>
              </w:rPr>
              <w:t>LH</w:t>
            </w:r>
            <w:r w:rsidR="00762DB1" w:rsidRPr="002F1F9B">
              <w:rPr>
                <w:color w:val="000000"/>
                <w:sz w:val="20"/>
                <w:lang w:val="en-GB" w:eastAsia="en-GB"/>
              </w:rPr>
              <w:t>_HLT_</w:t>
            </w:r>
            <w:r w:rsidR="00DA4F2B" w:rsidRPr="002F1F9B">
              <w:rPr>
                <w:color w:val="000000"/>
                <w:sz w:val="20"/>
                <w:lang w:val="en-GB" w:eastAsia="en-GB"/>
              </w:rPr>
              <w:t>EXP_</w:t>
            </w:r>
            <w:r w:rsidRPr="002F1F9B">
              <w:rPr>
                <w:color w:val="000000"/>
                <w:sz w:val="20"/>
                <w:lang w:val="en-GB" w:eastAsia="en-GB"/>
              </w:rPr>
              <w:t>R</w:t>
            </w:r>
            <w:r w:rsidR="00DA4F2B" w:rsidRPr="002F1F9B">
              <w:rPr>
                <w:color w:val="000000"/>
                <w:sz w:val="20"/>
                <w:lang w:val="en-GB" w:eastAsia="en-GB"/>
              </w:rPr>
              <w:t>xx_C3</w:t>
            </w:r>
          </w:p>
          <w:p w14:paraId="2E3C4794" w14:textId="77777777" w:rsidR="00051B57" w:rsidRPr="002F1F9B" w:rsidRDefault="00051B57" w:rsidP="00DA4F2B">
            <w:pPr>
              <w:jc w:val="left"/>
              <w:rPr>
                <w:color w:val="000000"/>
                <w:sz w:val="20"/>
                <w:lang w:val="en-GB" w:eastAsia="en-GB"/>
              </w:rPr>
            </w:pPr>
          </w:p>
          <w:p w14:paraId="2E3C4795" w14:textId="73958331" w:rsidR="00051B57" w:rsidRPr="002F1F9B" w:rsidRDefault="00051B57" w:rsidP="00DA4F2B">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1</w:t>
            </w:r>
            <w:r w:rsidR="00FB3710">
              <w:rPr>
                <w:color w:val="000000"/>
                <w:sz w:val="20"/>
                <w:lang w:val="en-GB" w:eastAsia="en-GB"/>
              </w:rPr>
              <w:t>, 6, 11-16, 26</w:t>
            </w:r>
          </w:p>
        </w:tc>
        <w:tc>
          <w:tcPr>
            <w:tcW w:w="0" w:type="auto"/>
            <w:tcBorders>
              <w:top w:val="nil"/>
              <w:left w:val="nil"/>
              <w:bottom w:val="single" w:sz="4" w:space="0" w:color="auto"/>
              <w:right w:val="single" w:sz="4" w:space="0" w:color="auto"/>
            </w:tcBorders>
            <w:shd w:val="clear" w:color="auto" w:fill="auto"/>
            <w:hideMark/>
          </w:tcPr>
          <w:p w14:paraId="2E3C4796" w14:textId="77777777" w:rsidR="00DA4F2B" w:rsidRPr="002F1F9B" w:rsidRDefault="00DA4F2B" w:rsidP="00DA4F2B">
            <w:pPr>
              <w:jc w:val="left"/>
              <w:rPr>
                <w:color w:val="000000"/>
                <w:sz w:val="20"/>
                <w:lang w:val="en-GB" w:eastAsia="en-GB"/>
              </w:rPr>
            </w:pPr>
            <w:r w:rsidRPr="002F1F9B">
              <w:rPr>
                <w:color w:val="000000"/>
                <w:sz w:val="20"/>
                <w:lang w:val="en-GB" w:eastAsia="en-GB"/>
              </w:rPr>
              <w:t>Net Written Premiums</w:t>
            </w:r>
          </w:p>
        </w:tc>
        <w:tc>
          <w:tcPr>
            <w:tcW w:w="4761" w:type="dxa"/>
            <w:tcBorders>
              <w:top w:val="nil"/>
              <w:left w:val="nil"/>
              <w:bottom w:val="single" w:sz="4" w:space="0" w:color="auto"/>
              <w:right w:val="single" w:sz="4" w:space="0" w:color="auto"/>
            </w:tcBorders>
            <w:shd w:val="clear" w:color="auto" w:fill="auto"/>
            <w:hideMark/>
          </w:tcPr>
          <w:p w14:paraId="2E3C4798" w14:textId="527B08B4" w:rsidR="00DA4F2B" w:rsidRPr="002F1F9B" w:rsidRDefault="00DA4F2B" w:rsidP="00DA4F2B">
            <w:pPr>
              <w:jc w:val="left"/>
              <w:rPr>
                <w:sz w:val="20"/>
                <w:lang w:val="en-GB"/>
              </w:rPr>
            </w:pPr>
            <w:r w:rsidRPr="002F1F9B">
              <w:rPr>
                <w:color w:val="000000"/>
                <w:sz w:val="20"/>
                <w:lang w:val="en-GB" w:eastAsia="en-GB"/>
              </w:rPr>
              <w:t xml:space="preserve">The total of the </w:t>
            </w:r>
            <w:r w:rsidR="00AF5167" w:rsidRPr="002F1F9B">
              <w:rPr>
                <w:color w:val="000000"/>
                <w:sz w:val="20"/>
                <w:lang w:val="en-GB" w:eastAsia="en-GB"/>
              </w:rPr>
              <w:t>net</w:t>
            </w:r>
            <w:r w:rsidRPr="002F1F9B">
              <w:rPr>
                <w:color w:val="000000"/>
                <w:sz w:val="20"/>
                <w:lang w:val="en-GB" w:eastAsia="en-GB"/>
              </w:rPr>
              <w:t xml:space="preserve"> written premiums </w:t>
            </w:r>
            <w:r w:rsidRPr="002F1F9B">
              <w:rPr>
                <w:sz w:val="20"/>
                <w:lang w:val="en-GB"/>
              </w:rPr>
              <w:t xml:space="preserve">shall be reported </w:t>
            </w:r>
            <w:r w:rsidRPr="002F1F9B">
              <w:rPr>
                <w:color w:val="000000"/>
                <w:sz w:val="20"/>
                <w:lang w:val="en-GB" w:eastAsia="en-GB"/>
              </w:rPr>
              <w:t xml:space="preserve">for the </w:t>
            </w:r>
            <w:r w:rsidRPr="002F1F9B">
              <w:rPr>
                <w:sz w:val="20"/>
                <w:lang w:val="en-GB"/>
              </w:rPr>
              <w:t>products of the health insurance portfolio that are sensitive to the relevant risk category.</w:t>
            </w:r>
          </w:p>
        </w:tc>
      </w:tr>
      <w:tr w:rsidR="00DA4F2B" w:rsidRPr="002F1F9B" w14:paraId="2E3C47A0"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9A" w14:textId="77777777" w:rsidR="00DA4F2B" w:rsidRPr="002F1F9B" w:rsidRDefault="00DA4F2B" w:rsidP="00DA4F2B">
            <w:pPr>
              <w:jc w:val="left"/>
              <w:rPr>
                <w:color w:val="000000"/>
                <w:sz w:val="20"/>
                <w:lang w:val="en-GB" w:eastAsia="en-GB"/>
              </w:rPr>
            </w:pPr>
            <w:r w:rsidRPr="002F1F9B">
              <w:rPr>
                <w:color w:val="000000"/>
                <w:sz w:val="20"/>
                <w:lang w:val="en-GB" w:eastAsia="en-GB"/>
              </w:rPr>
              <w:t>LH</w:t>
            </w:r>
            <w:r w:rsidR="00762DB1" w:rsidRPr="002F1F9B">
              <w:rPr>
                <w:color w:val="000000"/>
                <w:sz w:val="20"/>
                <w:lang w:val="en-GB" w:eastAsia="en-GB"/>
              </w:rPr>
              <w:t>_HLT_</w:t>
            </w:r>
            <w:r w:rsidRPr="002F1F9B">
              <w:rPr>
                <w:color w:val="000000"/>
                <w:sz w:val="20"/>
                <w:lang w:val="en-GB" w:eastAsia="en-GB"/>
              </w:rPr>
              <w:t>EXP_</w:t>
            </w:r>
            <w:r w:rsidR="00051B57" w:rsidRPr="002F1F9B">
              <w:rPr>
                <w:color w:val="000000"/>
                <w:sz w:val="20"/>
                <w:lang w:val="en-GB" w:eastAsia="en-GB"/>
              </w:rPr>
              <w:t>R</w:t>
            </w:r>
            <w:r w:rsidRPr="002F1F9B">
              <w:rPr>
                <w:color w:val="000000"/>
                <w:sz w:val="20"/>
                <w:lang w:val="en-GB" w:eastAsia="en-GB"/>
              </w:rPr>
              <w:t>xx_C4</w:t>
            </w:r>
          </w:p>
          <w:p w14:paraId="2E3C479B" w14:textId="77777777" w:rsidR="00051B57" w:rsidRPr="002F1F9B" w:rsidRDefault="00051B57" w:rsidP="00DA4F2B">
            <w:pPr>
              <w:jc w:val="left"/>
              <w:rPr>
                <w:color w:val="000000"/>
                <w:sz w:val="20"/>
                <w:lang w:val="en-GB" w:eastAsia="en-GB"/>
              </w:rPr>
            </w:pPr>
          </w:p>
          <w:p w14:paraId="2E3C479C" w14:textId="49D6D275" w:rsidR="00051B57" w:rsidRPr="002F1F9B" w:rsidRDefault="00051B57" w:rsidP="00DA4F2B">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1</w:t>
            </w:r>
            <w:r w:rsidR="00FB3710">
              <w:rPr>
                <w:color w:val="000000"/>
                <w:sz w:val="20"/>
                <w:lang w:val="en-GB" w:eastAsia="en-GB"/>
              </w:rPr>
              <w:t>, 6, 11-16, 26</w:t>
            </w:r>
          </w:p>
        </w:tc>
        <w:tc>
          <w:tcPr>
            <w:tcW w:w="0" w:type="auto"/>
            <w:tcBorders>
              <w:top w:val="nil"/>
              <w:left w:val="nil"/>
              <w:bottom w:val="single" w:sz="4" w:space="0" w:color="auto"/>
              <w:right w:val="single" w:sz="4" w:space="0" w:color="auto"/>
            </w:tcBorders>
            <w:shd w:val="clear" w:color="auto" w:fill="auto"/>
            <w:hideMark/>
          </w:tcPr>
          <w:p w14:paraId="2E3C479D" w14:textId="77777777" w:rsidR="00DA4F2B" w:rsidRPr="002F1F9B" w:rsidRDefault="00DA4F2B" w:rsidP="00DA4F2B">
            <w:pPr>
              <w:jc w:val="left"/>
              <w:rPr>
                <w:color w:val="000000"/>
                <w:sz w:val="20"/>
                <w:lang w:val="en-GB" w:eastAsia="en-GB"/>
              </w:rPr>
            </w:pPr>
            <w:r w:rsidRPr="002F1F9B">
              <w:rPr>
                <w:color w:val="000000"/>
                <w:sz w:val="20"/>
                <w:lang w:val="en-GB" w:eastAsia="en-GB"/>
              </w:rPr>
              <w:t>Sum insured</w:t>
            </w:r>
          </w:p>
        </w:tc>
        <w:tc>
          <w:tcPr>
            <w:tcW w:w="4761" w:type="dxa"/>
            <w:tcBorders>
              <w:top w:val="nil"/>
              <w:left w:val="nil"/>
              <w:bottom w:val="single" w:sz="4" w:space="0" w:color="auto"/>
              <w:right w:val="single" w:sz="4" w:space="0" w:color="auto"/>
            </w:tcBorders>
            <w:shd w:val="clear" w:color="auto" w:fill="auto"/>
            <w:noWrap/>
            <w:hideMark/>
          </w:tcPr>
          <w:p w14:paraId="2E3C479F" w14:textId="396D4F65" w:rsidR="00DA4F2B" w:rsidRPr="002F1F9B" w:rsidRDefault="00DA4F2B" w:rsidP="00DA4F2B">
            <w:pPr>
              <w:jc w:val="left"/>
              <w:rPr>
                <w:sz w:val="20"/>
                <w:lang w:val="en-GB"/>
              </w:rPr>
            </w:pPr>
            <w:r w:rsidRPr="002F1F9B">
              <w:rPr>
                <w:color w:val="000000"/>
                <w:sz w:val="20"/>
                <w:lang w:val="en-GB" w:eastAsia="en-GB"/>
              </w:rPr>
              <w:t xml:space="preserve">The total sum insured </w:t>
            </w:r>
            <w:r w:rsidRPr="002F1F9B">
              <w:rPr>
                <w:sz w:val="20"/>
                <w:lang w:val="en-GB"/>
              </w:rPr>
              <w:t xml:space="preserve">shall be reported </w:t>
            </w:r>
            <w:r w:rsidRPr="002F1F9B">
              <w:rPr>
                <w:color w:val="000000"/>
                <w:sz w:val="20"/>
                <w:lang w:val="en-GB" w:eastAsia="en-GB"/>
              </w:rPr>
              <w:t xml:space="preserve">for the </w:t>
            </w:r>
            <w:r w:rsidRPr="002F1F9B">
              <w:rPr>
                <w:sz w:val="20"/>
                <w:lang w:val="en-GB"/>
              </w:rPr>
              <w:t>products of the health insurance portfolio that are sensitive to the relevant risk category.</w:t>
            </w:r>
          </w:p>
        </w:tc>
      </w:tr>
      <w:tr w:rsidR="00DA4F2B" w:rsidRPr="002F1F9B" w14:paraId="2E3C47A8"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noWrap/>
            <w:hideMark/>
          </w:tcPr>
          <w:p w14:paraId="2E3C47A1" w14:textId="77777777" w:rsidR="00051B57" w:rsidRPr="002F1F9B" w:rsidRDefault="00051B57" w:rsidP="00051B57">
            <w:pPr>
              <w:jc w:val="left"/>
              <w:rPr>
                <w:color w:val="000000"/>
                <w:sz w:val="20"/>
                <w:lang w:val="en-GB" w:eastAsia="en-GB"/>
              </w:rPr>
            </w:pPr>
            <w:r w:rsidRPr="002F1F9B">
              <w:rPr>
                <w:color w:val="000000"/>
                <w:sz w:val="20"/>
                <w:lang w:val="en-GB" w:eastAsia="en-GB"/>
              </w:rPr>
              <w:t>LH</w:t>
            </w:r>
            <w:r w:rsidR="00762DB1" w:rsidRPr="002F1F9B">
              <w:rPr>
                <w:color w:val="000000"/>
                <w:sz w:val="20"/>
                <w:lang w:val="en-GB" w:eastAsia="en-GB"/>
              </w:rPr>
              <w:t>_HLT_</w:t>
            </w:r>
            <w:r w:rsidRPr="002F1F9B">
              <w:rPr>
                <w:color w:val="000000"/>
                <w:sz w:val="20"/>
                <w:lang w:val="en-GB" w:eastAsia="en-GB"/>
              </w:rPr>
              <w:t>SCR_Rxx_C5</w:t>
            </w:r>
          </w:p>
          <w:p w14:paraId="2E3C47A2" w14:textId="77777777" w:rsidR="00051B57" w:rsidRPr="002F1F9B" w:rsidRDefault="00051B57" w:rsidP="00051B57">
            <w:pPr>
              <w:jc w:val="left"/>
              <w:rPr>
                <w:color w:val="000000"/>
                <w:sz w:val="20"/>
                <w:lang w:val="en-GB" w:eastAsia="en-GB"/>
              </w:rPr>
            </w:pPr>
          </w:p>
          <w:p w14:paraId="2E3C47A3" w14:textId="51549C75" w:rsidR="00DA4F2B" w:rsidRPr="002F1F9B" w:rsidRDefault="003307D2" w:rsidP="00051B57">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xml:space="preserve">= 1 to </w:t>
            </w:r>
            <w:r w:rsidR="00FB3710">
              <w:rPr>
                <w:color w:val="000000"/>
                <w:sz w:val="20"/>
                <w:lang w:val="en-GB" w:eastAsia="en-GB"/>
              </w:rPr>
              <w:t>27</w:t>
            </w:r>
          </w:p>
        </w:tc>
        <w:tc>
          <w:tcPr>
            <w:tcW w:w="0" w:type="auto"/>
            <w:tcBorders>
              <w:top w:val="nil"/>
              <w:left w:val="nil"/>
              <w:bottom w:val="single" w:sz="4" w:space="0" w:color="auto"/>
              <w:right w:val="single" w:sz="4" w:space="0" w:color="auto"/>
            </w:tcBorders>
            <w:shd w:val="clear" w:color="auto" w:fill="auto"/>
            <w:hideMark/>
          </w:tcPr>
          <w:p w14:paraId="2E3C47A4" w14:textId="77777777" w:rsidR="00DA4F2B" w:rsidRPr="002F1F9B" w:rsidRDefault="00DA4F2B" w:rsidP="00DA4F2B">
            <w:pPr>
              <w:jc w:val="left"/>
              <w:rPr>
                <w:color w:val="000000"/>
                <w:sz w:val="20"/>
                <w:lang w:val="en-GB" w:eastAsia="en-GB"/>
              </w:rPr>
            </w:pPr>
            <w:r w:rsidRPr="002F1F9B">
              <w:rPr>
                <w:color w:val="000000"/>
                <w:sz w:val="20"/>
                <w:lang w:val="en-GB" w:eastAsia="en-GB"/>
              </w:rPr>
              <w:t>Solvency Capital Requirements</w:t>
            </w:r>
          </w:p>
        </w:tc>
        <w:tc>
          <w:tcPr>
            <w:tcW w:w="4761" w:type="dxa"/>
            <w:tcBorders>
              <w:top w:val="nil"/>
              <w:left w:val="nil"/>
              <w:bottom w:val="single" w:sz="4" w:space="0" w:color="auto"/>
              <w:right w:val="single" w:sz="4" w:space="0" w:color="auto"/>
            </w:tcBorders>
            <w:shd w:val="clear" w:color="auto" w:fill="auto"/>
            <w:hideMark/>
          </w:tcPr>
          <w:p w14:paraId="099142B0" w14:textId="3603190F" w:rsidR="006C39CF" w:rsidRPr="002F1F9B" w:rsidRDefault="006C39CF" w:rsidP="006C39CF">
            <w:pPr>
              <w:jc w:val="left"/>
              <w:rPr>
                <w:sz w:val="20"/>
                <w:lang w:val="en-GB" w:eastAsia="en-GB"/>
              </w:rPr>
            </w:pPr>
            <w:r w:rsidRPr="002F1F9B">
              <w:rPr>
                <w:sz w:val="20"/>
                <w:lang w:val="en-GB" w:eastAsia="en-GB"/>
              </w:rPr>
              <w:t xml:space="preserve">The SCR for the relevant risk category, </w:t>
            </w:r>
            <w:r w:rsidR="009F17BB" w:rsidRPr="002F1F9B">
              <w:rPr>
                <w:sz w:val="20"/>
                <w:lang w:val="en-GB" w:eastAsia="en-GB"/>
              </w:rPr>
              <w:t>net</w:t>
            </w:r>
            <w:r w:rsidRPr="002F1F9B">
              <w:rPr>
                <w:sz w:val="20"/>
                <w:lang w:val="en-GB" w:eastAsia="en-GB"/>
              </w:rPr>
              <w:t xml:space="preserve"> of reinsurance.</w:t>
            </w:r>
          </w:p>
          <w:p w14:paraId="34AD68F7" w14:textId="080CA396" w:rsidR="009F17BB" w:rsidRPr="002F1F9B" w:rsidRDefault="009F17BB" w:rsidP="006C39CF">
            <w:pPr>
              <w:jc w:val="left"/>
              <w:rPr>
                <w:sz w:val="20"/>
                <w:lang w:val="en-GB" w:eastAsia="en-GB"/>
              </w:rPr>
            </w:pPr>
            <w:r w:rsidRPr="002F1F9B">
              <w:rPr>
                <w:sz w:val="20"/>
                <w:lang w:val="en-GB" w:eastAsia="en-GB"/>
              </w:rPr>
              <w:t>The following explanations apply for C5 – C24:</w:t>
            </w:r>
          </w:p>
          <w:p w14:paraId="2A039F1A" w14:textId="5028206A" w:rsidR="00DA4F2B" w:rsidRPr="002F1F9B" w:rsidRDefault="006C39CF" w:rsidP="006C39CF">
            <w:pPr>
              <w:jc w:val="left"/>
              <w:rPr>
                <w:sz w:val="20"/>
                <w:lang w:val="en-GB" w:eastAsia="en-GB"/>
              </w:rPr>
            </w:pPr>
            <w:r w:rsidRPr="002F1F9B">
              <w:rPr>
                <w:sz w:val="20"/>
                <w:lang w:val="en-GB" w:eastAsia="en-GB"/>
              </w:rPr>
              <w:t>For the aggregate risks</w:t>
            </w:r>
            <w:r w:rsidR="00D50063" w:rsidRPr="002F1F9B">
              <w:rPr>
                <w:sz w:val="20"/>
                <w:lang w:val="en-GB" w:eastAsia="en-GB"/>
              </w:rPr>
              <w:t>,</w:t>
            </w:r>
            <w:r w:rsidRPr="002F1F9B">
              <w:rPr>
                <w:sz w:val="20"/>
                <w:lang w:val="en-GB" w:eastAsia="en-GB"/>
              </w:rPr>
              <w:t xml:space="preserve"> the SCR after aggregation over the underlying submodules should be reported. </w:t>
            </w:r>
          </w:p>
          <w:p w14:paraId="4FAB52CB" w14:textId="77777777" w:rsidR="009F17BB" w:rsidRPr="002F1F9B" w:rsidRDefault="009F17BB" w:rsidP="009F17BB">
            <w:pPr>
              <w:jc w:val="left"/>
              <w:rPr>
                <w:sz w:val="20"/>
                <w:lang w:val="en-GB" w:eastAsia="en-GB"/>
              </w:rPr>
            </w:pPr>
            <w:r w:rsidRPr="002F1F9B">
              <w:rPr>
                <w:sz w:val="20"/>
                <w:lang w:val="en-GB" w:eastAsia="en-GB"/>
              </w:rPr>
              <w:t>For lapse risk the following applies:</w:t>
            </w:r>
          </w:p>
          <w:p w14:paraId="7A94059E" w14:textId="77777777" w:rsidR="009F17BB" w:rsidRPr="002F1F9B" w:rsidRDefault="009F17BB" w:rsidP="009F17BB">
            <w:pPr>
              <w:pStyle w:val="ListParagraph"/>
              <w:numPr>
                <w:ilvl w:val="0"/>
                <w:numId w:val="15"/>
              </w:numPr>
              <w:jc w:val="left"/>
              <w:rPr>
                <w:sz w:val="20"/>
                <w:lang w:val="en-GB" w:eastAsia="en-GB"/>
              </w:rPr>
            </w:pPr>
            <w:r w:rsidRPr="002F1F9B">
              <w:rPr>
                <w:sz w:val="20"/>
                <w:lang w:val="en-GB" w:eastAsia="en-GB"/>
              </w:rPr>
              <w:t xml:space="preserve">‘Lapse’ covers exercising contractual options in a general sense. </w:t>
            </w:r>
          </w:p>
          <w:p w14:paraId="1BA8705E" w14:textId="77777777" w:rsidR="009F17BB" w:rsidRPr="002F1F9B" w:rsidRDefault="009F17BB" w:rsidP="009F17BB">
            <w:pPr>
              <w:pStyle w:val="ListParagraph"/>
              <w:numPr>
                <w:ilvl w:val="0"/>
                <w:numId w:val="15"/>
              </w:numPr>
              <w:jc w:val="left"/>
              <w:rPr>
                <w:sz w:val="20"/>
                <w:lang w:val="en-GB" w:eastAsia="en-GB"/>
              </w:rPr>
            </w:pPr>
            <w:r w:rsidRPr="002F1F9B">
              <w:rPr>
                <w:sz w:val="20"/>
                <w:lang w:val="en-GB" w:eastAsia="en-GB"/>
              </w:rPr>
              <w:t>Risk of increase in lapse rates (R17) and decrease of lapse rates (R18) are lapse risks other than mass lapse risk, where R17 (R18) covers the part of the business leading to a loss if lapse rates increase (</w:t>
            </w:r>
            <w:proofErr w:type="spellStart"/>
            <w:r w:rsidRPr="002F1F9B">
              <w:rPr>
                <w:sz w:val="20"/>
                <w:lang w:val="en-GB" w:eastAsia="en-GB"/>
              </w:rPr>
              <w:t>dercrease</w:t>
            </w:r>
            <w:proofErr w:type="spellEnd"/>
            <w:r w:rsidRPr="002F1F9B">
              <w:rPr>
                <w:sz w:val="20"/>
                <w:lang w:val="en-GB" w:eastAsia="en-GB"/>
              </w:rPr>
              <w:t>) as defined in the internal model.</w:t>
            </w:r>
          </w:p>
          <w:p w14:paraId="27EB8444" w14:textId="77777777" w:rsidR="009F17BB" w:rsidRPr="002F1F9B" w:rsidRDefault="009F17BB" w:rsidP="009F17BB">
            <w:pPr>
              <w:pStyle w:val="ListParagraph"/>
              <w:numPr>
                <w:ilvl w:val="0"/>
                <w:numId w:val="15"/>
              </w:numPr>
              <w:jc w:val="left"/>
              <w:rPr>
                <w:sz w:val="20"/>
                <w:lang w:val="en-GB" w:eastAsia="en-GB"/>
              </w:rPr>
            </w:pPr>
            <w:r w:rsidRPr="002F1F9B">
              <w:rPr>
                <w:sz w:val="20"/>
                <w:lang w:val="en-GB" w:eastAsia="en-GB"/>
              </w:rPr>
              <w:t xml:space="preserve">Risk of mass lapse (R19) is risk of accumulation or </w:t>
            </w:r>
            <w:proofErr w:type="spellStart"/>
            <w:r w:rsidRPr="002F1F9B">
              <w:rPr>
                <w:sz w:val="20"/>
                <w:lang w:val="en-GB" w:eastAsia="en-GB"/>
              </w:rPr>
              <w:t>catasptrophe</w:t>
            </w:r>
            <w:proofErr w:type="spellEnd"/>
            <w:r w:rsidRPr="002F1F9B">
              <w:rPr>
                <w:sz w:val="20"/>
                <w:lang w:val="en-GB" w:eastAsia="en-GB"/>
              </w:rPr>
              <w:t xml:space="preserve"> risk for lapse as defined in the internal model</w:t>
            </w:r>
          </w:p>
          <w:p w14:paraId="2E705A8D" w14:textId="113DEE70" w:rsidR="009F17BB" w:rsidRPr="002F1F9B" w:rsidRDefault="009F17BB" w:rsidP="009F17BB">
            <w:pPr>
              <w:jc w:val="left"/>
              <w:rPr>
                <w:sz w:val="20"/>
                <w:lang w:val="en-GB" w:eastAsia="en-GB"/>
              </w:rPr>
            </w:pPr>
            <w:r w:rsidRPr="002F1F9B">
              <w:rPr>
                <w:sz w:val="20"/>
                <w:lang w:val="en-GB" w:eastAsia="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p w14:paraId="2E3C47A7" w14:textId="2D4ACF68" w:rsidR="009F17BB" w:rsidRPr="002F1F9B" w:rsidRDefault="009F17BB" w:rsidP="006C39CF">
            <w:pPr>
              <w:jc w:val="left"/>
              <w:rPr>
                <w:sz w:val="20"/>
                <w:lang w:val="en-GB" w:eastAsia="en-GB"/>
              </w:rPr>
            </w:pPr>
          </w:p>
        </w:tc>
      </w:tr>
      <w:tr w:rsidR="00DA4F2B" w:rsidRPr="002F1F9B" w14:paraId="2E3C47AE" w14:textId="77777777" w:rsidTr="00511C2F">
        <w:trPr>
          <w:trHeight w:val="676"/>
        </w:trPr>
        <w:tc>
          <w:tcPr>
            <w:tcW w:w="2683" w:type="dxa"/>
            <w:tcBorders>
              <w:top w:val="nil"/>
              <w:left w:val="single" w:sz="4" w:space="0" w:color="auto"/>
              <w:bottom w:val="single" w:sz="4" w:space="0" w:color="auto"/>
              <w:right w:val="single" w:sz="4" w:space="0" w:color="auto"/>
            </w:tcBorders>
            <w:shd w:val="clear" w:color="auto" w:fill="auto"/>
            <w:hideMark/>
          </w:tcPr>
          <w:p w14:paraId="2E3C47A9" w14:textId="77777777" w:rsidR="00051B57" w:rsidRPr="002F1F9B" w:rsidRDefault="00051B57" w:rsidP="00051B57">
            <w:pPr>
              <w:jc w:val="left"/>
              <w:rPr>
                <w:color w:val="000000"/>
                <w:sz w:val="20"/>
                <w:lang w:val="en-GB" w:eastAsia="en-GB"/>
              </w:rPr>
            </w:pPr>
            <w:r w:rsidRPr="002F1F9B">
              <w:rPr>
                <w:color w:val="000000"/>
                <w:sz w:val="20"/>
                <w:lang w:val="en-GB" w:eastAsia="en-GB"/>
              </w:rPr>
              <w:t>LH</w:t>
            </w:r>
            <w:r w:rsidR="00762DB1" w:rsidRPr="002F1F9B">
              <w:rPr>
                <w:color w:val="000000"/>
                <w:sz w:val="20"/>
                <w:lang w:val="en-GB" w:eastAsia="en-GB"/>
              </w:rPr>
              <w:t>_HLT_</w:t>
            </w:r>
            <w:r w:rsidRPr="002F1F9B">
              <w:rPr>
                <w:color w:val="000000"/>
                <w:sz w:val="20"/>
                <w:lang w:val="en-GB" w:eastAsia="en-GB"/>
              </w:rPr>
              <w:t>SCR_Rxx_C6</w:t>
            </w:r>
          </w:p>
          <w:p w14:paraId="2E3C47AA" w14:textId="77777777" w:rsidR="00051B57" w:rsidRPr="002F1F9B" w:rsidRDefault="00051B57" w:rsidP="00051B57">
            <w:pPr>
              <w:jc w:val="left"/>
              <w:rPr>
                <w:color w:val="000000"/>
                <w:sz w:val="20"/>
                <w:lang w:val="en-GB" w:eastAsia="en-GB"/>
              </w:rPr>
            </w:pPr>
          </w:p>
          <w:p w14:paraId="2E3C47AB" w14:textId="04CEEE56" w:rsidR="00DA4F2B" w:rsidRPr="002F1F9B" w:rsidRDefault="00051B57" w:rsidP="00051B57">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xml:space="preserve">= 1 to </w:t>
            </w:r>
            <w:r w:rsidR="00FB3710">
              <w:rPr>
                <w:color w:val="000000"/>
                <w:sz w:val="20"/>
                <w:lang w:val="en-GB" w:eastAsia="en-GB"/>
              </w:rPr>
              <w:t>27</w:t>
            </w:r>
          </w:p>
        </w:tc>
        <w:tc>
          <w:tcPr>
            <w:tcW w:w="0" w:type="auto"/>
            <w:tcBorders>
              <w:top w:val="nil"/>
              <w:left w:val="nil"/>
              <w:bottom w:val="single" w:sz="4" w:space="0" w:color="auto"/>
              <w:right w:val="single" w:sz="4" w:space="0" w:color="auto"/>
            </w:tcBorders>
            <w:shd w:val="clear" w:color="auto" w:fill="auto"/>
            <w:hideMark/>
          </w:tcPr>
          <w:p w14:paraId="2E3C47AC" w14:textId="77777777" w:rsidR="00DA4F2B" w:rsidRPr="002F1F9B" w:rsidRDefault="00DA4F2B" w:rsidP="00DA4F2B">
            <w:pPr>
              <w:jc w:val="left"/>
              <w:rPr>
                <w:color w:val="000000"/>
                <w:sz w:val="20"/>
                <w:lang w:val="en-GB" w:eastAsia="en-GB"/>
              </w:rPr>
            </w:pPr>
            <w:r w:rsidRPr="002F1F9B">
              <w:rPr>
                <w:color w:val="000000"/>
                <w:sz w:val="20"/>
                <w:lang w:val="en-GB" w:eastAsia="en-GB"/>
              </w:rPr>
              <w:t>Mean</w:t>
            </w:r>
          </w:p>
        </w:tc>
        <w:tc>
          <w:tcPr>
            <w:tcW w:w="4761" w:type="dxa"/>
            <w:tcBorders>
              <w:top w:val="nil"/>
              <w:left w:val="nil"/>
              <w:bottom w:val="single" w:sz="4" w:space="0" w:color="auto"/>
              <w:right w:val="single" w:sz="4" w:space="0" w:color="auto"/>
            </w:tcBorders>
            <w:shd w:val="clear" w:color="auto" w:fill="auto"/>
            <w:hideMark/>
          </w:tcPr>
          <w:p w14:paraId="2E3C47AD" w14:textId="7BAF92C7" w:rsidR="00DA4F2B" w:rsidRPr="002F1F9B" w:rsidRDefault="00DA4F2B" w:rsidP="00DA4F2B">
            <w:pPr>
              <w:jc w:val="left"/>
              <w:rPr>
                <w:color w:val="000000"/>
                <w:sz w:val="20"/>
                <w:lang w:val="en-GB" w:eastAsia="en-GB"/>
              </w:rPr>
            </w:pPr>
            <w:r w:rsidRPr="002F1F9B">
              <w:rPr>
                <w:color w:val="000000"/>
                <w:sz w:val="20"/>
                <w:lang w:val="en-GB" w:eastAsia="en-GB"/>
              </w:rPr>
              <w:t xml:space="preserve">The mean of the probability distribution of the </w:t>
            </w:r>
            <w:r w:rsidR="009F17BB" w:rsidRPr="002F1F9B">
              <w:rPr>
                <w:color w:val="000000"/>
                <w:sz w:val="20"/>
                <w:lang w:val="en-GB" w:eastAsia="en-GB"/>
              </w:rPr>
              <w:t xml:space="preserve">net </w:t>
            </w:r>
            <w:r w:rsidRPr="002F1F9B">
              <w:rPr>
                <w:color w:val="000000"/>
                <w:sz w:val="20"/>
                <w:lang w:val="en-GB" w:eastAsia="en-GB"/>
              </w:rPr>
              <w:t>SCR</w:t>
            </w:r>
          </w:p>
        </w:tc>
      </w:tr>
      <w:tr w:rsidR="00DA4F2B" w:rsidRPr="002F1F9B" w14:paraId="2E3C47B4" w14:textId="77777777" w:rsidTr="00511C2F">
        <w:trPr>
          <w:trHeight w:val="685"/>
        </w:trPr>
        <w:tc>
          <w:tcPr>
            <w:tcW w:w="2683" w:type="dxa"/>
            <w:tcBorders>
              <w:top w:val="nil"/>
              <w:left w:val="single" w:sz="4" w:space="0" w:color="auto"/>
              <w:bottom w:val="single" w:sz="4" w:space="0" w:color="auto"/>
              <w:right w:val="single" w:sz="4" w:space="0" w:color="auto"/>
            </w:tcBorders>
            <w:shd w:val="clear" w:color="auto" w:fill="auto"/>
            <w:noWrap/>
            <w:hideMark/>
          </w:tcPr>
          <w:p w14:paraId="2E3C47AF" w14:textId="77777777" w:rsidR="00051B57" w:rsidRPr="002F1F9B" w:rsidRDefault="00051B57" w:rsidP="00051B57">
            <w:pPr>
              <w:jc w:val="left"/>
              <w:rPr>
                <w:color w:val="000000"/>
                <w:sz w:val="20"/>
                <w:lang w:val="en-GB" w:eastAsia="en-GB"/>
              </w:rPr>
            </w:pPr>
            <w:r w:rsidRPr="002F1F9B">
              <w:rPr>
                <w:color w:val="000000"/>
                <w:sz w:val="20"/>
                <w:lang w:val="en-GB" w:eastAsia="en-GB"/>
              </w:rPr>
              <w:t>LH</w:t>
            </w:r>
            <w:r w:rsidR="00762DB1" w:rsidRPr="002F1F9B">
              <w:rPr>
                <w:color w:val="000000"/>
                <w:sz w:val="20"/>
                <w:lang w:val="en-GB" w:eastAsia="en-GB"/>
              </w:rPr>
              <w:t>_HLT_</w:t>
            </w:r>
            <w:r w:rsidRPr="002F1F9B">
              <w:rPr>
                <w:color w:val="000000"/>
                <w:sz w:val="20"/>
                <w:lang w:val="en-GB" w:eastAsia="en-GB"/>
              </w:rPr>
              <w:t>SCR_Rxx_C7</w:t>
            </w:r>
          </w:p>
          <w:p w14:paraId="2E3C47B0" w14:textId="77777777" w:rsidR="00051B57" w:rsidRPr="002F1F9B" w:rsidRDefault="00051B57" w:rsidP="00051B57">
            <w:pPr>
              <w:jc w:val="left"/>
              <w:rPr>
                <w:color w:val="000000"/>
                <w:sz w:val="20"/>
                <w:lang w:val="en-GB" w:eastAsia="en-GB"/>
              </w:rPr>
            </w:pPr>
          </w:p>
          <w:p w14:paraId="2E3C47B1" w14:textId="5E70BA4E" w:rsidR="00DA4F2B" w:rsidRPr="002F1F9B" w:rsidRDefault="00051B57" w:rsidP="00051B57">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 xml:space="preserve">= 1 to </w:t>
            </w:r>
            <w:r w:rsidR="00FB3710">
              <w:rPr>
                <w:color w:val="000000"/>
                <w:sz w:val="20"/>
                <w:lang w:val="en-GB" w:eastAsia="en-GB"/>
              </w:rPr>
              <w:t>27</w:t>
            </w:r>
          </w:p>
        </w:tc>
        <w:tc>
          <w:tcPr>
            <w:tcW w:w="0" w:type="auto"/>
            <w:tcBorders>
              <w:top w:val="nil"/>
              <w:left w:val="nil"/>
              <w:bottom w:val="single" w:sz="4" w:space="0" w:color="auto"/>
              <w:right w:val="single" w:sz="4" w:space="0" w:color="auto"/>
            </w:tcBorders>
            <w:shd w:val="clear" w:color="auto" w:fill="auto"/>
            <w:hideMark/>
          </w:tcPr>
          <w:p w14:paraId="2E3C47B2" w14:textId="77777777" w:rsidR="00DA4F2B" w:rsidRPr="002F1F9B" w:rsidRDefault="00DA4F2B" w:rsidP="00DA4F2B">
            <w:pPr>
              <w:jc w:val="left"/>
              <w:rPr>
                <w:color w:val="000000"/>
                <w:sz w:val="20"/>
                <w:lang w:val="en-GB" w:eastAsia="en-GB"/>
              </w:rPr>
            </w:pPr>
            <w:r w:rsidRPr="002F1F9B">
              <w:rPr>
                <w:color w:val="000000"/>
                <w:sz w:val="20"/>
                <w:lang w:val="en-GB" w:eastAsia="en-GB"/>
              </w:rPr>
              <w:t>Standard deviation</w:t>
            </w:r>
          </w:p>
        </w:tc>
        <w:tc>
          <w:tcPr>
            <w:tcW w:w="4761" w:type="dxa"/>
            <w:tcBorders>
              <w:top w:val="nil"/>
              <w:left w:val="nil"/>
              <w:bottom w:val="single" w:sz="4" w:space="0" w:color="auto"/>
              <w:right w:val="single" w:sz="4" w:space="0" w:color="auto"/>
            </w:tcBorders>
            <w:shd w:val="clear" w:color="auto" w:fill="auto"/>
            <w:hideMark/>
          </w:tcPr>
          <w:p w14:paraId="76AAA8ED" w14:textId="3B63125D" w:rsidR="00DA4F2B" w:rsidRPr="002F1F9B" w:rsidRDefault="00DA4F2B" w:rsidP="00946E79">
            <w:pPr>
              <w:jc w:val="left"/>
              <w:rPr>
                <w:color w:val="000000"/>
                <w:sz w:val="20"/>
                <w:lang w:val="en-GB" w:eastAsia="en-GB"/>
              </w:rPr>
            </w:pPr>
            <w:r w:rsidRPr="002F1F9B">
              <w:rPr>
                <w:color w:val="000000"/>
                <w:sz w:val="20"/>
                <w:lang w:val="en-GB" w:eastAsia="en-GB"/>
              </w:rPr>
              <w:t xml:space="preserve">The Standard deviation of the probability distribution of the </w:t>
            </w:r>
            <w:r w:rsidR="009F17BB" w:rsidRPr="002F1F9B">
              <w:rPr>
                <w:color w:val="000000"/>
                <w:sz w:val="20"/>
                <w:lang w:val="en-GB" w:eastAsia="en-GB"/>
              </w:rPr>
              <w:t xml:space="preserve">net </w:t>
            </w:r>
            <w:r w:rsidRPr="002F1F9B">
              <w:rPr>
                <w:color w:val="000000"/>
                <w:sz w:val="20"/>
                <w:lang w:val="en-GB" w:eastAsia="en-GB"/>
              </w:rPr>
              <w:t>SCR</w:t>
            </w:r>
          </w:p>
        </w:tc>
      </w:tr>
      <w:tr w:rsidR="00DA4F2B" w:rsidRPr="002F1F9B" w14:paraId="2E3C47BC"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hideMark/>
          </w:tcPr>
          <w:p w14:paraId="2E3C47B5" w14:textId="77777777" w:rsidR="00051B57" w:rsidRPr="002F1F9B" w:rsidRDefault="00051B57" w:rsidP="00051B57">
            <w:pPr>
              <w:jc w:val="left"/>
              <w:rPr>
                <w:color w:val="000000"/>
                <w:sz w:val="20"/>
                <w:lang w:val="en-GB" w:eastAsia="en-GB"/>
              </w:rPr>
            </w:pPr>
            <w:proofErr w:type="spellStart"/>
            <w:r w:rsidRPr="002F1F9B">
              <w:rPr>
                <w:color w:val="000000"/>
                <w:sz w:val="20"/>
                <w:lang w:val="en-GB" w:eastAsia="en-GB"/>
              </w:rPr>
              <w:t>LH</w:t>
            </w:r>
            <w:r w:rsidR="00762DB1" w:rsidRPr="002F1F9B">
              <w:rPr>
                <w:color w:val="000000"/>
                <w:sz w:val="20"/>
                <w:lang w:val="en-GB" w:eastAsia="en-GB"/>
              </w:rPr>
              <w:t>_HLT_</w:t>
            </w:r>
            <w:r w:rsidRPr="002F1F9B">
              <w:rPr>
                <w:color w:val="000000"/>
                <w:sz w:val="20"/>
                <w:lang w:val="en-GB" w:eastAsia="en-GB"/>
              </w:rPr>
              <w:t>SCR_Rxx_Cyy</w:t>
            </w:r>
            <w:proofErr w:type="spellEnd"/>
          </w:p>
          <w:p w14:paraId="2E3C47B6" w14:textId="77777777" w:rsidR="00051B57" w:rsidRPr="002F1F9B" w:rsidRDefault="00051B57" w:rsidP="00051B57">
            <w:pPr>
              <w:jc w:val="left"/>
              <w:rPr>
                <w:color w:val="000000"/>
                <w:sz w:val="20"/>
                <w:lang w:val="en-GB" w:eastAsia="en-GB"/>
              </w:rPr>
            </w:pPr>
          </w:p>
          <w:p w14:paraId="2E3C47B7" w14:textId="25A83C19" w:rsidR="00DA4F2B" w:rsidRPr="002F1F9B" w:rsidRDefault="00051B57" w:rsidP="00051B57">
            <w:pPr>
              <w:jc w:val="left"/>
              <w:rPr>
                <w:color w:val="000000"/>
                <w:sz w:val="20"/>
                <w:lang w:val="en-GB" w:eastAsia="en-GB"/>
              </w:rPr>
            </w:pPr>
            <w:r w:rsidRPr="002F1F9B">
              <w:rPr>
                <w:color w:val="000000"/>
                <w:sz w:val="20"/>
                <w:lang w:val="en-GB" w:eastAsia="en-GB"/>
              </w:rPr>
              <w:t>xx</w:t>
            </w:r>
            <w:r w:rsidR="00FC1164" w:rsidRPr="002F1F9B">
              <w:rPr>
                <w:color w:val="000000"/>
                <w:sz w:val="20"/>
                <w:lang w:val="en-GB" w:eastAsia="en-GB"/>
              </w:rPr>
              <w:t xml:space="preserve"> </w:t>
            </w:r>
            <w:r w:rsidRPr="002F1F9B">
              <w:rPr>
                <w:color w:val="000000"/>
                <w:sz w:val="20"/>
                <w:lang w:val="en-GB" w:eastAsia="en-GB"/>
              </w:rPr>
              <w:t>=</w:t>
            </w:r>
            <w:r w:rsidR="003307D2" w:rsidRPr="002F1F9B">
              <w:rPr>
                <w:color w:val="000000"/>
                <w:sz w:val="20"/>
                <w:lang w:val="en-GB" w:eastAsia="en-GB"/>
              </w:rPr>
              <w:t xml:space="preserve"> 1 to </w:t>
            </w:r>
            <w:r w:rsidR="00FB3710">
              <w:rPr>
                <w:color w:val="000000"/>
                <w:sz w:val="20"/>
                <w:lang w:val="en-GB" w:eastAsia="en-GB"/>
              </w:rPr>
              <w:t>27</w:t>
            </w:r>
          </w:p>
          <w:p w14:paraId="2E3C47B8" w14:textId="008EE7A9" w:rsidR="00051B57" w:rsidRPr="002F1F9B" w:rsidRDefault="00051B57" w:rsidP="00051B57">
            <w:pPr>
              <w:jc w:val="left"/>
              <w:rPr>
                <w:color w:val="000000"/>
                <w:sz w:val="20"/>
                <w:lang w:val="en-GB" w:eastAsia="en-GB"/>
              </w:rPr>
            </w:pPr>
            <w:proofErr w:type="spellStart"/>
            <w:r w:rsidRPr="002F1F9B">
              <w:rPr>
                <w:color w:val="000000"/>
                <w:sz w:val="20"/>
                <w:lang w:val="en-GB" w:eastAsia="en-GB"/>
              </w:rPr>
              <w:t>yy</w:t>
            </w:r>
            <w:proofErr w:type="spellEnd"/>
            <w:r w:rsidR="00FC1164" w:rsidRPr="002F1F9B">
              <w:rPr>
                <w:color w:val="000000"/>
                <w:sz w:val="20"/>
                <w:lang w:val="en-GB" w:eastAsia="en-GB"/>
              </w:rPr>
              <w:t xml:space="preserve"> </w:t>
            </w:r>
            <w:r w:rsidRPr="002F1F9B">
              <w:rPr>
                <w:color w:val="000000"/>
                <w:sz w:val="20"/>
                <w:lang w:val="en-GB" w:eastAsia="en-GB"/>
              </w:rPr>
              <w:t>= 8 to 24</w:t>
            </w:r>
          </w:p>
        </w:tc>
        <w:tc>
          <w:tcPr>
            <w:tcW w:w="0" w:type="auto"/>
            <w:tcBorders>
              <w:top w:val="nil"/>
              <w:left w:val="nil"/>
              <w:bottom w:val="single" w:sz="4" w:space="0" w:color="auto"/>
              <w:right w:val="single" w:sz="4" w:space="0" w:color="auto"/>
            </w:tcBorders>
            <w:shd w:val="clear" w:color="auto" w:fill="auto"/>
            <w:hideMark/>
          </w:tcPr>
          <w:p w14:paraId="2E3C47B9" w14:textId="2DE100DF" w:rsidR="00DA4F2B" w:rsidRPr="002F1F9B" w:rsidRDefault="00DA4F2B" w:rsidP="00D50063">
            <w:pPr>
              <w:jc w:val="left"/>
              <w:rPr>
                <w:color w:val="000000"/>
                <w:sz w:val="20"/>
                <w:lang w:val="en-GB" w:eastAsia="en-GB"/>
              </w:rPr>
            </w:pPr>
            <w:r w:rsidRPr="002F1F9B">
              <w:rPr>
                <w:color w:val="000000"/>
                <w:sz w:val="20"/>
                <w:lang w:val="en-GB" w:eastAsia="en-GB"/>
              </w:rPr>
              <w:t>Percentiles from 0.001 to 0.999</w:t>
            </w:r>
            <w:r w:rsidR="0074666D" w:rsidRPr="002F1F9B">
              <w:rPr>
                <w:color w:val="000000"/>
                <w:sz w:val="20"/>
                <w:lang w:val="en-GB" w:eastAsia="en-GB"/>
              </w:rPr>
              <w:t xml:space="preserve"> (see </w:t>
            </w:r>
            <w:r w:rsidR="00D50063" w:rsidRPr="002F1F9B">
              <w:rPr>
                <w:color w:val="000000"/>
                <w:sz w:val="20"/>
                <w:lang w:val="en-GB" w:eastAsia="en-GB"/>
              </w:rPr>
              <w:t xml:space="preserve">required percentiles in </w:t>
            </w:r>
            <w:r w:rsidR="0074666D" w:rsidRPr="002F1F9B">
              <w:rPr>
                <w:color w:val="000000"/>
                <w:sz w:val="20"/>
                <w:lang w:val="en-GB" w:eastAsia="en-GB"/>
              </w:rPr>
              <w:t>Annex XII )</w:t>
            </w:r>
          </w:p>
        </w:tc>
        <w:tc>
          <w:tcPr>
            <w:tcW w:w="4761" w:type="dxa"/>
            <w:tcBorders>
              <w:top w:val="nil"/>
              <w:left w:val="nil"/>
              <w:bottom w:val="single" w:sz="4" w:space="0" w:color="auto"/>
              <w:right w:val="single" w:sz="4" w:space="0" w:color="auto"/>
            </w:tcBorders>
            <w:shd w:val="clear" w:color="auto" w:fill="auto"/>
            <w:hideMark/>
          </w:tcPr>
          <w:p w14:paraId="2E3C47BB" w14:textId="6B5F1AA0" w:rsidR="00051B57" w:rsidRPr="002F1F9B" w:rsidRDefault="00DA4F2B" w:rsidP="009F17BB">
            <w:pPr>
              <w:jc w:val="left"/>
              <w:rPr>
                <w:color w:val="000000"/>
                <w:sz w:val="20"/>
                <w:lang w:val="en-GB" w:eastAsia="en-GB"/>
              </w:rPr>
            </w:pPr>
            <w:r w:rsidRPr="002F1F9B">
              <w:rPr>
                <w:color w:val="000000"/>
                <w:sz w:val="20"/>
                <w:lang w:val="en-GB" w:eastAsia="en-GB"/>
              </w:rPr>
              <w:t>It is expected that the insurance and reinsurance undertakings indicate the amounts of the percentiles required in the table related to the probability distribution obtained based on the simulation process (</w:t>
            </w:r>
            <w:r w:rsidR="009F17BB" w:rsidRPr="002F1F9B">
              <w:rPr>
                <w:color w:val="000000"/>
                <w:sz w:val="20"/>
                <w:lang w:val="en-GB" w:eastAsia="en-GB"/>
              </w:rPr>
              <w:t>net</w:t>
            </w:r>
            <w:r w:rsidRPr="002F1F9B">
              <w:rPr>
                <w:color w:val="000000"/>
                <w:sz w:val="20"/>
                <w:lang w:val="en-GB" w:eastAsia="en-GB"/>
              </w:rPr>
              <w:t xml:space="preserve"> of reinsurance and on discounted basis).</w:t>
            </w:r>
          </w:p>
        </w:tc>
      </w:tr>
      <w:tr w:rsidR="00864E05" w:rsidRPr="002F1F9B" w14:paraId="7A6761B2" w14:textId="77777777" w:rsidTr="00CB0C33">
        <w:trPr>
          <w:trHeight w:val="600"/>
        </w:trPr>
        <w:tc>
          <w:tcPr>
            <w:tcW w:w="9782" w:type="dxa"/>
            <w:gridSpan w:val="3"/>
            <w:tcBorders>
              <w:top w:val="nil"/>
              <w:left w:val="single" w:sz="4" w:space="0" w:color="auto"/>
              <w:bottom w:val="single" w:sz="4" w:space="0" w:color="auto"/>
              <w:right w:val="single" w:sz="4" w:space="0" w:color="auto"/>
            </w:tcBorders>
            <w:shd w:val="clear" w:color="auto" w:fill="auto"/>
          </w:tcPr>
          <w:p w14:paraId="77C07C3C" w14:textId="1EC290B3" w:rsidR="00864E05" w:rsidRPr="002F1F9B" w:rsidRDefault="00864E05" w:rsidP="00864E05">
            <w:pPr>
              <w:rPr>
                <w:sz w:val="20"/>
                <w:lang w:val="en-GB"/>
              </w:rPr>
            </w:pPr>
            <w:r w:rsidRPr="002F1F9B">
              <w:rPr>
                <w:b/>
                <w:sz w:val="20"/>
                <w:lang w:val="en-GB"/>
              </w:rPr>
              <w:t>ALTERNATIVE BLOCK FOR HEALTH RISK</w:t>
            </w:r>
            <w:r w:rsidRPr="002F1F9B">
              <w:rPr>
                <w:sz w:val="20"/>
                <w:lang w:val="en-GB"/>
              </w:rPr>
              <w:t xml:space="preserve"> </w:t>
            </w:r>
          </w:p>
          <w:p w14:paraId="5390F081" w14:textId="6BD7B062" w:rsidR="00864E05" w:rsidRPr="002F1F9B" w:rsidRDefault="00864E05" w:rsidP="00864E05">
            <w:pPr>
              <w:rPr>
                <w:color w:val="000000"/>
                <w:sz w:val="20"/>
                <w:lang w:val="en-GB" w:eastAsia="en-GB"/>
              </w:rPr>
            </w:pPr>
            <w:r w:rsidRPr="002F1F9B">
              <w:rPr>
                <w:sz w:val="20"/>
                <w:lang w:val="en-GB"/>
              </w:rPr>
              <w:t>To be completed if the internal model only has a split between Trend and Level risk. In that case the following block replaces the block above.</w:t>
            </w:r>
          </w:p>
        </w:tc>
      </w:tr>
      <w:tr w:rsidR="00FB3710" w:rsidRPr="002F1F9B" w14:paraId="690C637F"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12C7D578" w14:textId="030D0EA7" w:rsidR="00FB3710" w:rsidRDefault="00FB3710" w:rsidP="00FB3710">
            <w:pPr>
              <w:jc w:val="left"/>
              <w:rPr>
                <w:color w:val="000000"/>
                <w:sz w:val="20"/>
                <w:lang w:val="en-GB" w:eastAsia="en-GB"/>
              </w:rPr>
            </w:pPr>
            <w:r w:rsidRPr="002F1F9B">
              <w:rPr>
                <w:color w:val="000000"/>
                <w:sz w:val="20"/>
                <w:lang w:val="en-GB" w:eastAsia="en-GB"/>
              </w:rPr>
              <w:t>LH_HLT_EXP</w:t>
            </w:r>
            <w:r>
              <w:rPr>
                <w:color w:val="000000"/>
                <w:sz w:val="20"/>
                <w:lang w:val="en-GB" w:eastAsia="en-GB"/>
              </w:rPr>
              <w:t>TLC</w:t>
            </w:r>
            <w:r w:rsidRPr="002F1F9B">
              <w:rPr>
                <w:color w:val="000000"/>
                <w:sz w:val="20"/>
                <w:lang w:val="en-GB" w:eastAsia="en-GB"/>
              </w:rPr>
              <w:t>_R</w:t>
            </w:r>
            <w:r>
              <w:rPr>
                <w:color w:val="000000"/>
                <w:sz w:val="20"/>
                <w:lang w:val="en-GB" w:eastAsia="en-GB"/>
              </w:rPr>
              <w:t>3</w:t>
            </w:r>
            <w:r w:rsidRPr="002F1F9B">
              <w:rPr>
                <w:color w:val="000000"/>
                <w:sz w:val="20"/>
                <w:lang w:val="en-GB" w:eastAsia="en-GB"/>
              </w:rPr>
              <w:t>_C1</w:t>
            </w:r>
          </w:p>
        </w:tc>
        <w:tc>
          <w:tcPr>
            <w:tcW w:w="0" w:type="auto"/>
            <w:tcBorders>
              <w:top w:val="nil"/>
              <w:left w:val="nil"/>
              <w:bottom w:val="single" w:sz="4" w:space="0" w:color="auto"/>
              <w:right w:val="single" w:sz="4" w:space="0" w:color="auto"/>
            </w:tcBorders>
            <w:shd w:val="clear" w:color="auto" w:fill="auto"/>
          </w:tcPr>
          <w:p w14:paraId="1755202F" w14:textId="2717521C" w:rsidR="00FB3710" w:rsidRPr="002F1F9B" w:rsidRDefault="00FB3710" w:rsidP="00FB3710">
            <w:pPr>
              <w:jc w:val="left"/>
              <w:rPr>
                <w:color w:val="000000"/>
                <w:sz w:val="20"/>
                <w:lang w:val="en-GB" w:eastAsia="en-GB"/>
              </w:rPr>
            </w:pPr>
            <w:r w:rsidRPr="002F1F9B">
              <w:rPr>
                <w:color w:val="000000"/>
                <w:sz w:val="20"/>
                <w:lang w:val="en-GB" w:eastAsia="en-GB"/>
              </w:rPr>
              <w:t>Net Best Estimate liability + Technical provisions calculated as a whole</w:t>
            </w:r>
          </w:p>
        </w:tc>
        <w:tc>
          <w:tcPr>
            <w:tcW w:w="4761" w:type="dxa"/>
            <w:tcBorders>
              <w:top w:val="nil"/>
              <w:left w:val="nil"/>
              <w:bottom w:val="single" w:sz="4" w:space="0" w:color="auto"/>
              <w:right w:val="single" w:sz="4" w:space="0" w:color="auto"/>
            </w:tcBorders>
            <w:shd w:val="clear" w:color="auto" w:fill="auto"/>
          </w:tcPr>
          <w:p w14:paraId="44B5D09E" w14:textId="77777777" w:rsidR="00FB3710" w:rsidRPr="002F1F9B" w:rsidRDefault="00FB3710" w:rsidP="00FB3710">
            <w:pPr>
              <w:rPr>
                <w:sz w:val="20"/>
                <w:lang w:val="en-GB"/>
              </w:rPr>
            </w:pPr>
            <w:r w:rsidRPr="002F1F9B">
              <w:rPr>
                <w:sz w:val="20"/>
                <w:lang w:val="en-GB"/>
              </w:rPr>
              <w:t>Best estimate shall be reported net of reinsurance and refers to the products of the health insurance portfolio that are sensitive to the relevant risk category. TPs calculated as a whole should be taken in as well.</w:t>
            </w:r>
          </w:p>
          <w:p w14:paraId="37C05868" w14:textId="68AEEF1F" w:rsidR="00FB3710" w:rsidRDefault="00FB3710" w:rsidP="00FB3710">
            <w:pPr>
              <w:jc w:val="left"/>
              <w:rPr>
                <w:sz w:val="20"/>
                <w:lang w:val="en-GB" w:eastAsia="en-GB"/>
              </w:rPr>
            </w:pPr>
            <w:r w:rsidRPr="002F1F9B">
              <w:rPr>
                <w:sz w:val="20"/>
                <w:lang w:val="en-GB"/>
              </w:rPr>
              <w:t>The split for disability-morbidity risk aggregate refers to annuities paid out (“APO”) or not (“ANPO”).</w:t>
            </w:r>
          </w:p>
        </w:tc>
      </w:tr>
      <w:tr w:rsidR="00FB3710" w:rsidRPr="002F1F9B" w14:paraId="0AFFA4C7"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7FA6555E" w14:textId="4CD5DC83" w:rsidR="00FB3710" w:rsidRDefault="00FB3710" w:rsidP="00FB3710">
            <w:pPr>
              <w:jc w:val="left"/>
              <w:rPr>
                <w:color w:val="000000"/>
                <w:sz w:val="20"/>
                <w:lang w:val="en-GB" w:eastAsia="en-GB"/>
              </w:rPr>
            </w:pPr>
            <w:r w:rsidRPr="002F1F9B">
              <w:rPr>
                <w:color w:val="000000"/>
                <w:sz w:val="20"/>
                <w:lang w:val="en-GB" w:eastAsia="en-GB"/>
              </w:rPr>
              <w:t>LH_HLT_EXP</w:t>
            </w:r>
            <w:r>
              <w:rPr>
                <w:color w:val="000000"/>
                <w:sz w:val="20"/>
                <w:lang w:val="en-GB" w:eastAsia="en-GB"/>
              </w:rPr>
              <w:t>TLC</w:t>
            </w:r>
            <w:r w:rsidRPr="002F1F9B">
              <w:rPr>
                <w:color w:val="000000"/>
                <w:sz w:val="20"/>
                <w:lang w:val="en-GB" w:eastAsia="en-GB"/>
              </w:rPr>
              <w:t>_R</w:t>
            </w:r>
            <w:r>
              <w:rPr>
                <w:color w:val="000000"/>
                <w:sz w:val="20"/>
                <w:lang w:val="en-GB" w:eastAsia="en-GB"/>
              </w:rPr>
              <w:t>3</w:t>
            </w:r>
            <w:r w:rsidRPr="002F1F9B">
              <w:rPr>
                <w:color w:val="000000"/>
                <w:sz w:val="20"/>
                <w:lang w:val="en-GB" w:eastAsia="en-GB"/>
              </w:rPr>
              <w:t>_C</w:t>
            </w:r>
            <w:r w:rsidR="00601355">
              <w:rPr>
                <w:color w:val="000000"/>
                <w:sz w:val="20"/>
                <w:lang w:val="en-GB" w:eastAsia="en-GB"/>
              </w:rPr>
              <w:t>2</w:t>
            </w:r>
          </w:p>
        </w:tc>
        <w:tc>
          <w:tcPr>
            <w:tcW w:w="0" w:type="auto"/>
            <w:tcBorders>
              <w:top w:val="nil"/>
              <w:left w:val="nil"/>
              <w:bottom w:val="single" w:sz="4" w:space="0" w:color="auto"/>
              <w:right w:val="single" w:sz="4" w:space="0" w:color="auto"/>
            </w:tcBorders>
            <w:shd w:val="clear" w:color="auto" w:fill="auto"/>
          </w:tcPr>
          <w:p w14:paraId="2B25E12C" w14:textId="79FD062F" w:rsidR="00FB3710" w:rsidRPr="002F1F9B" w:rsidRDefault="00FB3710" w:rsidP="00FB3710">
            <w:pPr>
              <w:jc w:val="left"/>
              <w:rPr>
                <w:color w:val="000000"/>
                <w:sz w:val="20"/>
                <w:lang w:val="en-GB" w:eastAsia="en-GB"/>
              </w:rPr>
            </w:pPr>
            <w:r w:rsidRPr="002F1F9B">
              <w:rPr>
                <w:color w:val="000000"/>
                <w:sz w:val="20"/>
                <w:lang w:val="en-GB" w:eastAsia="en-GB"/>
              </w:rPr>
              <w:t>Net Written Premiums</w:t>
            </w:r>
          </w:p>
        </w:tc>
        <w:tc>
          <w:tcPr>
            <w:tcW w:w="4761" w:type="dxa"/>
            <w:tcBorders>
              <w:top w:val="nil"/>
              <w:left w:val="nil"/>
              <w:bottom w:val="single" w:sz="4" w:space="0" w:color="auto"/>
              <w:right w:val="single" w:sz="4" w:space="0" w:color="auto"/>
            </w:tcBorders>
            <w:shd w:val="clear" w:color="auto" w:fill="auto"/>
          </w:tcPr>
          <w:p w14:paraId="673C2FB8" w14:textId="4C3CFCD0" w:rsidR="00FB3710" w:rsidRDefault="00FB3710" w:rsidP="00FB3710">
            <w:pPr>
              <w:jc w:val="left"/>
              <w:rPr>
                <w:sz w:val="20"/>
                <w:lang w:val="en-GB" w:eastAsia="en-GB"/>
              </w:rPr>
            </w:pPr>
            <w:r w:rsidRPr="002F1F9B">
              <w:rPr>
                <w:color w:val="000000"/>
                <w:sz w:val="20"/>
                <w:lang w:val="en-GB" w:eastAsia="en-GB"/>
              </w:rPr>
              <w:t xml:space="preserve">The total of the net written premiums </w:t>
            </w:r>
            <w:r w:rsidRPr="002F1F9B">
              <w:rPr>
                <w:sz w:val="20"/>
                <w:lang w:val="en-GB"/>
              </w:rPr>
              <w:t xml:space="preserve">shall be reported </w:t>
            </w:r>
            <w:r w:rsidRPr="002F1F9B">
              <w:rPr>
                <w:color w:val="000000"/>
                <w:sz w:val="20"/>
                <w:lang w:val="en-GB" w:eastAsia="en-GB"/>
              </w:rPr>
              <w:t xml:space="preserve">for the </w:t>
            </w:r>
            <w:r w:rsidRPr="002F1F9B">
              <w:rPr>
                <w:sz w:val="20"/>
                <w:lang w:val="en-GB"/>
              </w:rPr>
              <w:t>products of the health insurance portfolio that are sensitive to the relevant risk category.</w:t>
            </w:r>
          </w:p>
        </w:tc>
      </w:tr>
      <w:tr w:rsidR="00FB3710" w:rsidRPr="002F1F9B" w14:paraId="1B4DB9D8"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39122804" w14:textId="74EF4C42" w:rsidR="00FB3710" w:rsidRPr="002F1F9B" w:rsidRDefault="00FB3710" w:rsidP="00FB3710">
            <w:pPr>
              <w:jc w:val="left"/>
              <w:rPr>
                <w:color w:val="000000"/>
                <w:sz w:val="20"/>
                <w:lang w:val="en-GB" w:eastAsia="en-GB"/>
              </w:rPr>
            </w:pPr>
            <w:r w:rsidRPr="002F1F9B">
              <w:rPr>
                <w:color w:val="000000"/>
                <w:sz w:val="20"/>
                <w:lang w:val="en-GB" w:eastAsia="en-GB"/>
              </w:rPr>
              <w:lastRenderedPageBreak/>
              <w:t>LH_HLT_EXP_R</w:t>
            </w:r>
            <w:r>
              <w:rPr>
                <w:color w:val="000000"/>
                <w:sz w:val="20"/>
                <w:lang w:val="en-GB" w:eastAsia="en-GB"/>
              </w:rPr>
              <w:t>3</w:t>
            </w:r>
            <w:r w:rsidRPr="002F1F9B">
              <w:rPr>
                <w:color w:val="000000"/>
                <w:sz w:val="20"/>
                <w:lang w:val="en-GB" w:eastAsia="en-GB"/>
              </w:rPr>
              <w:t>_C</w:t>
            </w:r>
            <w:r w:rsidR="00601355">
              <w:rPr>
                <w:color w:val="000000"/>
                <w:sz w:val="20"/>
                <w:lang w:val="en-GB" w:eastAsia="en-GB"/>
              </w:rPr>
              <w:t>3</w:t>
            </w:r>
          </w:p>
        </w:tc>
        <w:tc>
          <w:tcPr>
            <w:tcW w:w="0" w:type="auto"/>
            <w:tcBorders>
              <w:top w:val="nil"/>
              <w:left w:val="nil"/>
              <w:bottom w:val="single" w:sz="4" w:space="0" w:color="auto"/>
              <w:right w:val="single" w:sz="4" w:space="0" w:color="auto"/>
            </w:tcBorders>
            <w:shd w:val="clear" w:color="auto" w:fill="auto"/>
          </w:tcPr>
          <w:p w14:paraId="0895E292" w14:textId="7D23CE6D" w:rsidR="00FB3710" w:rsidRPr="002F1F9B" w:rsidRDefault="00FB3710" w:rsidP="00FB3710">
            <w:pPr>
              <w:jc w:val="left"/>
              <w:rPr>
                <w:color w:val="000000"/>
                <w:sz w:val="20"/>
                <w:lang w:val="en-GB" w:eastAsia="en-GB"/>
              </w:rPr>
            </w:pPr>
            <w:r w:rsidRPr="002F1F9B">
              <w:rPr>
                <w:color w:val="000000"/>
                <w:sz w:val="20"/>
                <w:lang w:val="en-GB" w:eastAsia="en-GB"/>
              </w:rPr>
              <w:t>Sum insured</w:t>
            </w:r>
          </w:p>
        </w:tc>
        <w:tc>
          <w:tcPr>
            <w:tcW w:w="4761" w:type="dxa"/>
            <w:tcBorders>
              <w:top w:val="nil"/>
              <w:left w:val="nil"/>
              <w:bottom w:val="single" w:sz="4" w:space="0" w:color="auto"/>
              <w:right w:val="single" w:sz="4" w:space="0" w:color="auto"/>
            </w:tcBorders>
            <w:shd w:val="clear" w:color="auto" w:fill="auto"/>
          </w:tcPr>
          <w:p w14:paraId="7921A898" w14:textId="2E186355" w:rsidR="00FB3710" w:rsidRPr="002F1F9B" w:rsidRDefault="00FB3710" w:rsidP="00FB3710">
            <w:pPr>
              <w:jc w:val="left"/>
              <w:rPr>
                <w:sz w:val="20"/>
                <w:lang w:val="en-GB" w:eastAsia="en-GB"/>
              </w:rPr>
            </w:pPr>
            <w:r w:rsidRPr="002F1F9B">
              <w:rPr>
                <w:color w:val="000000"/>
                <w:sz w:val="20"/>
                <w:lang w:val="en-GB" w:eastAsia="en-GB"/>
              </w:rPr>
              <w:t xml:space="preserve">The total sum insured </w:t>
            </w:r>
            <w:r w:rsidRPr="002F1F9B">
              <w:rPr>
                <w:sz w:val="20"/>
                <w:lang w:val="en-GB"/>
              </w:rPr>
              <w:t xml:space="preserve">shall be reported </w:t>
            </w:r>
            <w:r w:rsidRPr="002F1F9B">
              <w:rPr>
                <w:color w:val="000000"/>
                <w:sz w:val="20"/>
                <w:lang w:val="en-GB" w:eastAsia="en-GB"/>
              </w:rPr>
              <w:t xml:space="preserve">for the </w:t>
            </w:r>
            <w:r w:rsidRPr="002F1F9B">
              <w:rPr>
                <w:sz w:val="20"/>
                <w:lang w:val="en-GB"/>
              </w:rPr>
              <w:t>products of the health insurance portfolio that are sensitive to the relevant risk category.</w:t>
            </w:r>
          </w:p>
        </w:tc>
      </w:tr>
      <w:tr w:rsidR="00FB3710" w:rsidRPr="002F1F9B" w14:paraId="1CBF6E53"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69A8D369" w14:textId="02F0BE98" w:rsidR="00FB3710" w:rsidRPr="002F1F9B" w:rsidRDefault="00FB3710" w:rsidP="00FB3710">
            <w:pPr>
              <w:jc w:val="left"/>
              <w:rPr>
                <w:color w:val="000000"/>
                <w:sz w:val="20"/>
                <w:lang w:val="en-GB" w:eastAsia="en-GB"/>
              </w:rPr>
            </w:pPr>
            <w:r w:rsidRPr="002F1F9B">
              <w:rPr>
                <w:color w:val="000000"/>
                <w:sz w:val="20"/>
                <w:lang w:val="en-GB" w:eastAsia="en-GB"/>
              </w:rPr>
              <w:t>LH_HLT_SCRTLC_Rxx_C4</w:t>
            </w:r>
          </w:p>
          <w:p w14:paraId="0CC34501" w14:textId="77777777" w:rsidR="00FB3710" w:rsidRPr="002F1F9B" w:rsidRDefault="00FB3710" w:rsidP="00FB3710">
            <w:pPr>
              <w:jc w:val="left"/>
              <w:rPr>
                <w:color w:val="000000"/>
                <w:sz w:val="20"/>
                <w:lang w:val="en-GB" w:eastAsia="en-GB"/>
              </w:rPr>
            </w:pPr>
          </w:p>
          <w:p w14:paraId="37AEFA9A" w14:textId="1CB02F6E" w:rsidR="00FB3710" w:rsidRPr="002F1F9B" w:rsidRDefault="00FB3710" w:rsidP="00FB3710">
            <w:pPr>
              <w:jc w:val="left"/>
              <w:rPr>
                <w:color w:val="000000"/>
                <w:sz w:val="20"/>
                <w:lang w:val="en-GB" w:eastAsia="en-GB"/>
              </w:rPr>
            </w:pPr>
            <w:r w:rsidRPr="002F1F9B">
              <w:rPr>
                <w:color w:val="000000"/>
                <w:sz w:val="20"/>
                <w:lang w:val="en-GB" w:eastAsia="en-GB"/>
              </w:rPr>
              <w:t>xx = 1 (trend risk), 2 (level risk)</w:t>
            </w:r>
            <w:r>
              <w:rPr>
                <w:color w:val="000000"/>
                <w:sz w:val="20"/>
                <w:lang w:val="en-GB" w:eastAsia="en-GB"/>
              </w:rPr>
              <w:t>, 3 (catastrophe risk)</w:t>
            </w:r>
          </w:p>
        </w:tc>
        <w:tc>
          <w:tcPr>
            <w:tcW w:w="0" w:type="auto"/>
            <w:tcBorders>
              <w:top w:val="nil"/>
              <w:left w:val="nil"/>
              <w:bottom w:val="single" w:sz="4" w:space="0" w:color="auto"/>
              <w:right w:val="single" w:sz="4" w:space="0" w:color="auto"/>
            </w:tcBorders>
            <w:shd w:val="clear" w:color="auto" w:fill="auto"/>
          </w:tcPr>
          <w:p w14:paraId="4ED0AB7A" w14:textId="0297BD0A" w:rsidR="00FB3710" w:rsidRPr="002F1F9B" w:rsidRDefault="00FB3710" w:rsidP="00FB3710">
            <w:pPr>
              <w:jc w:val="left"/>
              <w:rPr>
                <w:color w:val="000000"/>
                <w:sz w:val="20"/>
                <w:lang w:val="en-GB" w:eastAsia="en-GB"/>
              </w:rPr>
            </w:pPr>
            <w:r w:rsidRPr="002F1F9B">
              <w:rPr>
                <w:color w:val="000000"/>
                <w:sz w:val="20"/>
                <w:lang w:val="en-GB" w:eastAsia="en-GB"/>
              </w:rPr>
              <w:t>Solvency Capital Requirements</w:t>
            </w:r>
          </w:p>
        </w:tc>
        <w:tc>
          <w:tcPr>
            <w:tcW w:w="4761" w:type="dxa"/>
            <w:tcBorders>
              <w:top w:val="nil"/>
              <w:left w:val="nil"/>
              <w:bottom w:val="single" w:sz="4" w:space="0" w:color="auto"/>
              <w:right w:val="single" w:sz="4" w:space="0" w:color="auto"/>
            </w:tcBorders>
            <w:shd w:val="clear" w:color="auto" w:fill="auto"/>
          </w:tcPr>
          <w:p w14:paraId="1BFC80EB" w14:textId="3A8D66DC" w:rsidR="00FB3710" w:rsidRPr="002F1F9B" w:rsidRDefault="00FB3710" w:rsidP="00FB3710">
            <w:pPr>
              <w:jc w:val="left"/>
              <w:rPr>
                <w:sz w:val="20"/>
                <w:lang w:val="en-GB" w:eastAsia="en-GB"/>
              </w:rPr>
            </w:pPr>
            <w:r w:rsidRPr="002F1F9B">
              <w:rPr>
                <w:sz w:val="20"/>
                <w:lang w:val="en-GB" w:eastAsia="en-GB"/>
              </w:rPr>
              <w:t xml:space="preserve">The SCR for the relevant risk category, </w:t>
            </w:r>
            <w:r>
              <w:rPr>
                <w:sz w:val="20"/>
                <w:lang w:val="en-GB" w:eastAsia="en-GB"/>
              </w:rPr>
              <w:t>net</w:t>
            </w:r>
            <w:r w:rsidRPr="002F1F9B">
              <w:rPr>
                <w:sz w:val="20"/>
                <w:lang w:val="en-GB" w:eastAsia="en-GB"/>
              </w:rPr>
              <w:t xml:space="preserve"> of reinsurance.</w:t>
            </w:r>
          </w:p>
          <w:p w14:paraId="364F56BD" w14:textId="3595EC51" w:rsidR="00FB3710" w:rsidRPr="002F1F9B" w:rsidRDefault="00FB3710" w:rsidP="00FB3710">
            <w:pPr>
              <w:jc w:val="left"/>
              <w:rPr>
                <w:color w:val="000000"/>
                <w:sz w:val="20"/>
                <w:lang w:val="en-GB" w:eastAsia="en-GB"/>
              </w:rPr>
            </w:pPr>
            <w:r w:rsidRPr="002F1F9B">
              <w:rPr>
                <w:sz w:val="20"/>
                <w:lang w:val="en-GB" w:eastAsia="en-GB"/>
              </w:rPr>
              <w:t xml:space="preserve">For the aggregate risks, the </w:t>
            </w:r>
            <w:r>
              <w:rPr>
                <w:sz w:val="20"/>
                <w:lang w:val="en-GB" w:eastAsia="en-GB"/>
              </w:rPr>
              <w:t xml:space="preserve">net </w:t>
            </w:r>
            <w:r w:rsidRPr="002F1F9B">
              <w:rPr>
                <w:sz w:val="20"/>
                <w:lang w:val="en-GB" w:eastAsia="en-GB"/>
              </w:rPr>
              <w:t xml:space="preserve">SCR after aggregation over the underlying submodules should be reported. </w:t>
            </w:r>
          </w:p>
        </w:tc>
      </w:tr>
      <w:tr w:rsidR="00FB3710" w:rsidRPr="002F1F9B" w14:paraId="23FA5B38"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1DC43549" w14:textId="20599A7F" w:rsidR="00FB3710" w:rsidRPr="002F1F9B" w:rsidRDefault="00FB3710" w:rsidP="00FB3710">
            <w:pPr>
              <w:jc w:val="left"/>
              <w:rPr>
                <w:color w:val="000000"/>
                <w:sz w:val="20"/>
                <w:lang w:val="en-GB" w:eastAsia="en-GB"/>
              </w:rPr>
            </w:pPr>
            <w:r w:rsidRPr="002F1F9B">
              <w:rPr>
                <w:color w:val="000000"/>
                <w:sz w:val="20"/>
                <w:lang w:val="en-GB" w:eastAsia="en-GB"/>
              </w:rPr>
              <w:t>LH_HLT_SPRTLC_Rxx_C5</w:t>
            </w:r>
          </w:p>
          <w:p w14:paraId="0B3CF988" w14:textId="77777777" w:rsidR="00FB3710" w:rsidRPr="002F1F9B" w:rsidRDefault="00FB3710" w:rsidP="00FB3710">
            <w:pPr>
              <w:jc w:val="left"/>
              <w:rPr>
                <w:color w:val="000000"/>
                <w:sz w:val="20"/>
                <w:lang w:val="en-GB" w:eastAsia="en-GB"/>
              </w:rPr>
            </w:pPr>
          </w:p>
          <w:p w14:paraId="69BB699C" w14:textId="2BFA0CFE" w:rsidR="00FB3710" w:rsidRPr="002F1F9B" w:rsidRDefault="00FB3710" w:rsidP="00FB3710">
            <w:pPr>
              <w:jc w:val="left"/>
              <w:rPr>
                <w:color w:val="000000"/>
                <w:sz w:val="20"/>
                <w:lang w:val="en-GB" w:eastAsia="en-GB"/>
              </w:rPr>
            </w:pPr>
            <w:r w:rsidRPr="002F1F9B">
              <w:rPr>
                <w:color w:val="000000"/>
                <w:sz w:val="20"/>
                <w:lang w:val="en-GB" w:eastAsia="en-GB"/>
              </w:rPr>
              <w:t>xx = 1 (trend risk), 2 (level risk)</w:t>
            </w:r>
            <w:r>
              <w:rPr>
                <w:color w:val="000000"/>
                <w:sz w:val="20"/>
                <w:lang w:val="en-GB" w:eastAsia="en-GB"/>
              </w:rPr>
              <w:t xml:space="preserve"> , 3 (catastrophe risk)</w:t>
            </w:r>
          </w:p>
        </w:tc>
        <w:tc>
          <w:tcPr>
            <w:tcW w:w="0" w:type="auto"/>
            <w:tcBorders>
              <w:top w:val="nil"/>
              <w:left w:val="nil"/>
              <w:bottom w:val="single" w:sz="4" w:space="0" w:color="auto"/>
              <w:right w:val="single" w:sz="4" w:space="0" w:color="auto"/>
            </w:tcBorders>
            <w:shd w:val="clear" w:color="auto" w:fill="auto"/>
          </w:tcPr>
          <w:p w14:paraId="55CF8220" w14:textId="7C0C2E47" w:rsidR="00FB3710" w:rsidRPr="002F1F9B" w:rsidRDefault="00FB3710" w:rsidP="00FB3710">
            <w:pPr>
              <w:jc w:val="left"/>
              <w:rPr>
                <w:color w:val="000000"/>
                <w:sz w:val="20"/>
                <w:lang w:val="en-GB" w:eastAsia="en-GB"/>
              </w:rPr>
            </w:pPr>
            <w:r w:rsidRPr="002F1F9B">
              <w:rPr>
                <w:color w:val="000000"/>
                <w:sz w:val="20"/>
                <w:lang w:val="en-GB" w:eastAsia="en-GB"/>
              </w:rPr>
              <w:t>Mean</w:t>
            </w:r>
          </w:p>
        </w:tc>
        <w:tc>
          <w:tcPr>
            <w:tcW w:w="4761" w:type="dxa"/>
            <w:tcBorders>
              <w:top w:val="nil"/>
              <w:left w:val="nil"/>
              <w:bottom w:val="single" w:sz="4" w:space="0" w:color="auto"/>
              <w:right w:val="single" w:sz="4" w:space="0" w:color="auto"/>
            </w:tcBorders>
            <w:shd w:val="clear" w:color="auto" w:fill="auto"/>
          </w:tcPr>
          <w:p w14:paraId="14BFFA84" w14:textId="02B23B45" w:rsidR="00FB3710" w:rsidRPr="002F1F9B" w:rsidRDefault="00FB3710" w:rsidP="00FB3710">
            <w:pPr>
              <w:jc w:val="left"/>
              <w:rPr>
                <w:color w:val="000000"/>
                <w:sz w:val="20"/>
                <w:lang w:val="en-GB" w:eastAsia="en-GB"/>
              </w:rPr>
            </w:pPr>
            <w:r w:rsidRPr="002F1F9B">
              <w:rPr>
                <w:color w:val="000000"/>
                <w:sz w:val="20"/>
                <w:lang w:val="en-GB" w:eastAsia="en-GB"/>
              </w:rPr>
              <w:t xml:space="preserve">The mean of the probability distribution of the </w:t>
            </w:r>
            <w:r>
              <w:rPr>
                <w:color w:val="000000"/>
                <w:sz w:val="20"/>
                <w:lang w:val="en-GB" w:eastAsia="en-GB"/>
              </w:rPr>
              <w:t xml:space="preserve">net </w:t>
            </w:r>
            <w:r w:rsidRPr="002F1F9B">
              <w:rPr>
                <w:color w:val="000000"/>
                <w:sz w:val="20"/>
                <w:lang w:val="en-GB" w:eastAsia="en-GB"/>
              </w:rPr>
              <w:t>SCR</w:t>
            </w:r>
          </w:p>
        </w:tc>
      </w:tr>
      <w:tr w:rsidR="00FB3710" w:rsidRPr="002F1F9B" w14:paraId="0E25423C"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527F6594" w14:textId="4F7B63FC" w:rsidR="00FB3710" w:rsidRPr="002F1F9B" w:rsidRDefault="00FB3710" w:rsidP="00FB3710">
            <w:pPr>
              <w:jc w:val="left"/>
              <w:rPr>
                <w:color w:val="000000"/>
                <w:sz w:val="20"/>
                <w:lang w:val="en-GB" w:eastAsia="en-GB"/>
              </w:rPr>
            </w:pPr>
            <w:r w:rsidRPr="002F1F9B">
              <w:rPr>
                <w:color w:val="000000"/>
                <w:sz w:val="20"/>
                <w:lang w:val="en-GB" w:eastAsia="en-GB"/>
              </w:rPr>
              <w:t>LH_HLT_SPRTLC_Rxx_C6</w:t>
            </w:r>
          </w:p>
          <w:p w14:paraId="7C68C989" w14:textId="77777777" w:rsidR="00FB3710" w:rsidRPr="002F1F9B" w:rsidRDefault="00FB3710" w:rsidP="00FB3710">
            <w:pPr>
              <w:jc w:val="left"/>
              <w:rPr>
                <w:color w:val="000000"/>
                <w:sz w:val="20"/>
                <w:lang w:val="en-GB" w:eastAsia="en-GB"/>
              </w:rPr>
            </w:pPr>
          </w:p>
          <w:p w14:paraId="6740F447" w14:textId="351AE88E" w:rsidR="00FB3710" w:rsidRPr="002F1F9B" w:rsidRDefault="00FB3710" w:rsidP="00FB3710">
            <w:pPr>
              <w:jc w:val="left"/>
              <w:rPr>
                <w:color w:val="000000"/>
                <w:sz w:val="20"/>
                <w:lang w:val="en-GB" w:eastAsia="en-GB"/>
              </w:rPr>
            </w:pPr>
            <w:r w:rsidRPr="002F1F9B">
              <w:rPr>
                <w:color w:val="000000"/>
                <w:sz w:val="20"/>
                <w:lang w:val="en-GB" w:eastAsia="en-GB"/>
              </w:rPr>
              <w:t>xx = 1 (trend risk), 2 (level risk)</w:t>
            </w:r>
            <w:r>
              <w:rPr>
                <w:color w:val="000000"/>
                <w:sz w:val="20"/>
                <w:lang w:val="en-GB" w:eastAsia="en-GB"/>
              </w:rPr>
              <w:t xml:space="preserve"> , 3 (catastrophe risk)</w:t>
            </w:r>
          </w:p>
        </w:tc>
        <w:tc>
          <w:tcPr>
            <w:tcW w:w="0" w:type="auto"/>
            <w:tcBorders>
              <w:top w:val="nil"/>
              <w:left w:val="nil"/>
              <w:bottom w:val="single" w:sz="4" w:space="0" w:color="auto"/>
              <w:right w:val="single" w:sz="4" w:space="0" w:color="auto"/>
            </w:tcBorders>
            <w:shd w:val="clear" w:color="auto" w:fill="auto"/>
          </w:tcPr>
          <w:p w14:paraId="41E82D2C" w14:textId="712668DC" w:rsidR="00FB3710" w:rsidRPr="002F1F9B" w:rsidRDefault="00FB3710" w:rsidP="00FB3710">
            <w:pPr>
              <w:jc w:val="left"/>
              <w:rPr>
                <w:color w:val="000000"/>
                <w:sz w:val="20"/>
                <w:lang w:val="en-GB" w:eastAsia="en-GB"/>
              </w:rPr>
            </w:pPr>
            <w:r w:rsidRPr="002F1F9B">
              <w:rPr>
                <w:color w:val="000000"/>
                <w:sz w:val="20"/>
                <w:lang w:val="en-GB" w:eastAsia="en-GB"/>
              </w:rPr>
              <w:t>Standard deviation</w:t>
            </w:r>
          </w:p>
        </w:tc>
        <w:tc>
          <w:tcPr>
            <w:tcW w:w="4761" w:type="dxa"/>
            <w:tcBorders>
              <w:top w:val="nil"/>
              <w:left w:val="nil"/>
              <w:bottom w:val="single" w:sz="4" w:space="0" w:color="auto"/>
              <w:right w:val="single" w:sz="4" w:space="0" w:color="auto"/>
            </w:tcBorders>
            <w:shd w:val="clear" w:color="auto" w:fill="auto"/>
          </w:tcPr>
          <w:p w14:paraId="0319C19C" w14:textId="200AB680" w:rsidR="00FB3710" w:rsidRPr="002F1F9B" w:rsidRDefault="00FB3710" w:rsidP="00FB3710">
            <w:pPr>
              <w:jc w:val="left"/>
              <w:rPr>
                <w:color w:val="000000"/>
                <w:sz w:val="20"/>
                <w:lang w:val="en-GB" w:eastAsia="en-GB"/>
              </w:rPr>
            </w:pPr>
            <w:r w:rsidRPr="002F1F9B">
              <w:rPr>
                <w:color w:val="000000"/>
                <w:sz w:val="20"/>
                <w:lang w:val="en-GB" w:eastAsia="en-GB"/>
              </w:rPr>
              <w:t xml:space="preserve">The Standard deviation of the probability distribution of the </w:t>
            </w:r>
            <w:r>
              <w:rPr>
                <w:color w:val="000000"/>
                <w:sz w:val="20"/>
                <w:lang w:val="en-GB" w:eastAsia="en-GB"/>
              </w:rPr>
              <w:t xml:space="preserve">net </w:t>
            </w:r>
            <w:r w:rsidRPr="002F1F9B">
              <w:rPr>
                <w:color w:val="000000"/>
                <w:sz w:val="20"/>
                <w:lang w:val="en-GB" w:eastAsia="en-GB"/>
              </w:rPr>
              <w:t>SCR</w:t>
            </w:r>
          </w:p>
        </w:tc>
      </w:tr>
      <w:tr w:rsidR="00FB3710" w:rsidRPr="002F1F9B" w14:paraId="10E8854A"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59707612" w14:textId="49973177" w:rsidR="00FB3710" w:rsidRPr="002F1F9B" w:rsidRDefault="00FB3710" w:rsidP="00FB3710">
            <w:pPr>
              <w:jc w:val="left"/>
              <w:rPr>
                <w:color w:val="000000"/>
                <w:sz w:val="20"/>
                <w:lang w:val="en-GB" w:eastAsia="en-GB"/>
              </w:rPr>
            </w:pPr>
            <w:proofErr w:type="spellStart"/>
            <w:r w:rsidRPr="002F1F9B">
              <w:rPr>
                <w:color w:val="000000"/>
                <w:sz w:val="20"/>
                <w:lang w:val="en-GB" w:eastAsia="en-GB"/>
              </w:rPr>
              <w:t>LH_HLT_PCTTLC_Rxx_Cyy</w:t>
            </w:r>
            <w:proofErr w:type="spellEnd"/>
          </w:p>
          <w:p w14:paraId="4A6E7026" w14:textId="77777777" w:rsidR="00FB3710" w:rsidRPr="002F1F9B" w:rsidRDefault="00FB3710" w:rsidP="00FB3710">
            <w:pPr>
              <w:jc w:val="left"/>
              <w:rPr>
                <w:color w:val="000000"/>
                <w:sz w:val="20"/>
                <w:lang w:val="en-GB" w:eastAsia="en-GB"/>
              </w:rPr>
            </w:pPr>
          </w:p>
          <w:p w14:paraId="311E8B29" w14:textId="205595FB" w:rsidR="00FB3710" w:rsidRPr="002F1F9B" w:rsidRDefault="00FB3710" w:rsidP="00FB3710">
            <w:pPr>
              <w:jc w:val="left"/>
              <w:rPr>
                <w:color w:val="000000"/>
                <w:sz w:val="20"/>
                <w:lang w:val="en-GB" w:eastAsia="en-GB"/>
              </w:rPr>
            </w:pPr>
            <w:r w:rsidRPr="002F1F9B">
              <w:rPr>
                <w:color w:val="000000"/>
                <w:sz w:val="20"/>
                <w:lang w:val="en-GB" w:eastAsia="en-GB"/>
              </w:rPr>
              <w:t>xx = 1 (trend risk), 2 (level risk)</w:t>
            </w:r>
            <w:r>
              <w:rPr>
                <w:color w:val="000000"/>
                <w:sz w:val="20"/>
                <w:lang w:val="en-GB" w:eastAsia="en-GB"/>
              </w:rPr>
              <w:t xml:space="preserve"> , 3 (catastrophe risk)</w:t>
            </w:r>
          </w:p>
          <w:p w14:paraId="466AB2FE" w14:textId="67E0AB75" w:rsidR="00FB3710" w:rsidRPr="002F1F9B" w:rsidRDefault="00FB3710" w:rsidP="00FB3710">
            <w:pPr>
              <w:jc w:val="left"/>
              <w:rPr>
                <w:color w:val="000000"/>
                <w:sz w:val="20"/>
                <w:lang w:val="en-GB" w:eastAsia="en-GB"/>
              </w:rPr>
            </w:pPr>
            <w:proofErr w:type="spellStart"/>
            <w:r w:rsidRPr="002F1F9B">
              <w:rPr>
                <w:color w:val="000000"/>
                <w:sz w:val="20"/>
                <w:lang w:val="en-GB" w:eastAsia="en-GB"/>
              </w:rPr>
              <w:t>yy</w:t>
            </w:r>
            <w:proofErr w:type="spellEnd"/>
            <w:r w:rsidRPr="002F1F9B">
              <w:rPr>
                <w:color w:val="000000"/>
                <w:sz w:val="20"/>
                <w:lang w:val="en-GB" w:eastAsia="en-GB"/>
              </w:rPr>
              <w:t>= 7 to 23</w:t>
            </w:r>
          </w:p>
        </w:tc>
        <w:tc>
          <w:tcPr>
            <w:tcW w:w="0" w:type="auto"/>
            <w:tcBorders>
              <w:top w:val="nil"/>
              <w:left w:val="nil"/>
              <w:bottom w:val="single" w:sz="4" w:space="0" w:color="auto"/>
              <w:right w:val="single" w:sz="4" w:space="0" w:color="auto"/>
            </w:tcBorders>
            <w:shd w:val="clear" w:color="auto" w:fill="auto"/>
          </w:tcPr>
          <w:p w14:paraId="066197CA" w14:textId="75DA95D4" w:rsidR="00FB3710" w:rsidRPr="002F1F9B" w:rsidRDefault="00FB3710" w:rsidP="00FB3710">
            <w:pPr>
              <w:jc w:val="left"/>
              <w:rPr>
                <w:color w:val="000000"/>
                <w:sz w:val="20"/>
                <w:lang w:val="en-GB" w:eastAsia="en-GB"/>
              </w:rPr>
            </w:pPr>
            <w:r w:rsidRPr="002F1F9B">
              <w:rPr>
                <w:color w:val="000000"/>
                <w:sz w:val="20"/>
                <w:lang w:val="en-GB" w:eastAsia="en-GB"/>
              </w:rPr>
              <w:t>Percentiles from 0.001 to 0.999 (see required percentiles in Annex XII)</w:t>
            </w:r>
          </w:p>
        </w:tc>
        <w:tc>
          <w:tcPr>
            <w:tcW w:w="4761" w:type="dxa"/>
            <w:tcBorders>
              <w:top w:val="nil"/>
              <w:left w:val="nil"/>
              <w:bottom w:val="single" w:sz="4" w:space="0" w:color="auto"/>
              <w:right w:val="single" w:sz="4" w:space="0" w:color="auto"/>
            </w:tcBorders>
            <w:shd w:val="clear" w:color="auto" w:fill="auto"/>
          </w:tcPr>
          <w:p w14:paraId="6908C7DE" w14:textId="3C762C8D" w:rsidR="00FB3710" w:rsidRPr="002F1F9B" w:rsidRDefault="00FB3710" w:rsidP="00FB3710">
            <w:pPr>
              <w:jc w:val="left"/>
              <w:rPr>
                <w:color w:val="000000"/>
                <w:sz w:val="20"/>
                <w:lang w:val="en-GB" w:eastAsia="en-GB"/>
              </w:rPr>
            </w:pPr>
            <w:r w:rsidRPr="002F1F9B">
              <w:rPr>
                <w:color w:val="000000"/>
                <w:sz w:val="20"/>
                <w:lang w:val="en-GB" w:eastAsia="en-GB"/>
              </w:rPr>
              <w:t>It is expected that the insurance and reinsurance undertakings indicate the amounts of the percentiles required in the table related to the probability distribution obtained based on the simulation process (</w:t>
            </w:r>
            <w:r>
              <w:rPr>
                <w:color w:val="000000"/>
                <w:sz w:val="20"/>
                <w:lang w:val="en-GB" w:eastAsia="en-GB"/>
              </w:rPr>
              <w:t>net</w:t>
            </w:r>
            <w:r w:rsidRPr="002F1F9B">
              <w:rPr>
                <w:color w:val="000000"/>
                <w:sz w:val="20"/>
                <w:lang w:val="en-GB" w:eastAsia="en-GB"/>
              </w:rPr>
              <w:t xml:space="preserve"> of reinsurance and on discounted basis).</w:t>
            </w:r>
          </w:p>
        </w:tc>
      </w:tr>
      <w:tr w:rsidR="00FB3710" w:rsidRPr="002F1F9B" w14:paraId="2E3C47BE" w14:textId="77777777" w:rsidTr="00946E79">
        <w:trPr>
          <w:trHeight w:val="427"/>
        </w:trPr>
        <w:tc>
          <w:tcPr>
            <w:tcW w:w="9782" w:type="dxa"/>
            <w:gridSpan w:val="3"/>
            <w:tcBorders>
              <w:top w:val="nil"/>
              <w:left w:val="single" w:sz="4" w:space="0" w:color="auto"/>
              <w:bottom w:val="single" w:sz="4" w:space="0" w:color="auto"/>
              <w:right w:val="single" w:sz="4" w:space="0" w:color="auto"/>
            </w:tcBorders>
            <w:shd w:val="clear" w:color="auto" w:fill="auto"/>
          </w:tcPr>
          <w:p w14:paraId="2E3C47BD" w14:textId="77777777" w:rsidR="00FB3710" w:rsidRPr="002F1F9B" w:rsidRDefault="00FB3710" w:rsidP="00FB3710">
            <w:pPr>
              <w:jc w:val="left"/>
              <w:rPr>
                <w:color w:val="000000"/>
                <w:sz w:val="20"/>
                <w:lang w:val="en-GB" w:eastAsia="en-GB"/>
              </w:rPr>
            </w:pPr>
            <w:r w:rsidRPr="002F1F9B">
              <w:rPr>
                <w:b/>
                <w:bCs/>
                <w:color w:val="000000"/>
                <w:sz w:val="20"/>
                <w:lang w:val="en-GB" w:eastAsia="en-GB"/>
              </w:rPr>
              <w:t>SOLVENCY CAPITAL REQUIREMENTS</w:t>
            </w:r>
          </w:p>
        </w:tc>
      </w:tr>
      <w:tr w:rsidR="00FB3710" w:rsidRPr="002F1F9B" w14:paraId="2E3C47C7"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BF" w14:textId="77777777" w:rsidR="00FB3710" w:rsidRPr="002F1F9B" w:rsidRDefault="00FB3710" w:rsidP="00FB3710">
            <w:pPr>
              <w:jc w:val="left"/>
              <w:rPr>
                <w:color w:val="000000"/>
                <w:sz w:val="20"/>
                <w:lang w:val="en-GB" w:eastAsia="en-GB"/>
              </w:rPr>
            </w:pPr>
            <w:r w:rsidRPr="002F1F9B">
              <w:rPr>
                <w:color w:val="000000"/>
                <w:sz w:val="20"/>
                <w:lang w:val="en-GB" w:eastAsia="en-GB"/>
              </w:rPr>
              <w:t>LH_LIF_SCR_R1_C1</w:t>
            </w:r>
          </w:p>
          <w:p w14:paraId="2E3C47C0" w14:textId="77777777" w:rsidR="00FB3710" w:rsidRPr="002F1F9B" w:rsidRDefault="00FB3710" w:rsidP="00FB3710">
            <w:pPr>
              <w:jc w:val="left"/>
              <w:rPr>
                <w:color w:val="000000"/>
                <w:sz w:val="20"/>
                <w:lang w:val="en-GB" w:eastAsia="en-GB"/>
              </w:rPr>
            </w:pPr>
            <w:r w:rsidRPr="002F1F9B">
              <w:rPr>
                <w:color w:val="000000"/>
                <w:sz w:val="20"/>
                <w:lang w:val="en-GB" w:eastAsia="en-GB"/>
              </w:rPr>
              <w:t>LH_HLT_SCR_R1_C1</w:t>
            </w:r>
          </w:p>
          <w:p w14:paraId="2E3C47C1" w14:textId="77777777" w:rsidR="00FB3710" w:rsidRPr="002F1F9B" w:rsidRDefault="00FB3710" w:rsidP="00FB3710">
            <w:pPr>
              <w:jc w:val="left"/>
              <w:rPr>
                <w:color w:val="000000"/>
                <w:sz w:val="20"/>
                <w:lang w:val="en-GB" w:eastAsia="en-GB"/>
              </w:rPr>
            </w:pPr>
            <w:r w:rsidRPr="002F1F9B">
              <w:rPr>
                <w:color w:val="000000"/>
                <w:sz w:val="20"/>
                <w:lang w:val="en-GB" w:eastAsia="en-GB"/>
              </w:rPr>
              <w:t>LH_SCR_XXX_R1_C1</w:t>
            </w:r>
          </w:p>
          <w:p w14:paraId="2E3C47C2" w14:textId="77777777" w:rsidR="00FB3710" w:rsidRPr="002F1F9B" w:rsidRDefault="00FB3710" w:rsidP="00FB3710">
            <w:pPr>
              <w:jc w:val="left"/>
              <w:rPr>
                <w:color w:val="000000"/>
                <w:sz w:val="20"/>
                <w:lang w:val="en-GB" w:eastAsia="en-GB"/>
              </w:rPr>
            </w:pPr>
          </w:p>
        </w:tc>
        <w:tc>
          <w:tcPr>
            <w:tcW w:w="0" w:type="auto"/>
            <w:tcBorders>
              <w:top w:val="nil"/>
              <w:left w:val="nil"/>
              <w:bottom w:val="single" w:sz="4" w:space="0" w:color="auto"/>
              <w:right w:val="single" w:sz="4" w:space="0" w:color="auto"/>
            </w:tcBorders>
            <w:shd w:val="clear" w:color="auto" w:fill="auto"/>
          </w:tcPr>
          <w:p w14:paraId="2E3C47C3" w14:textId="77777777" w:rsidR="00FB3710" w:rsidRPr="002F1F9B" w:rsidRDefault="00FB3710" w:rsidP="00FB3710">
            <w:pPr>
              <w:jc w:val="left"/>
              <w:rPr>
                <w:color w:val="000000"/>
                <w:sz w:val="20"/>
                <w:lang w:val="en-GB" w:eastAsia="en-GB"/>
              </w:rPr>
            </w:pPr>
            <w:r w:rsidRPr="002F1F9B">
              <w:rPr>
                <w:color w:val="000000"/>
                <w:sz w:val="20"/>
                <w:lang w:val="en-GB" w:eastAsia="en-GB"/>
              </w:rPr>
              <w:t xml:space="preserve">Total undiversified risk: Life underwriting, </w:t>
            </w:r>
          </w:p>
          <w:p w14:paraId="2E3C47C5" w14:textId="1E556B9C" w:rsidR="00FB3710" w:rsidRPr="002F1F9B" w:rsidRDefault="00FB3710" w:rsidP="00FB3710">
            <w:pPr>
              <w:jc w:val="left"/>
              <w:rPr>
                <w:color w:val="000000"/>
                <w:sz w:val="20"/>
                <w:lang w:val="en-GB" w:eastAsia="en-GB"/>
              </w:rPr>
            </w:pPr>
            <w:r w:rsidRPr="002F1F9B">
              <w:rPr>
                <w:color w:val="000000"/>
                <w:sz w:val="20"/>
                <w:lang w:val="en-GB" w:eastAsia="en-GB"/>
              </w:rPr>
              <w:t>Health underwriting, Life and Health underwriting</w:t>
            </w:r>
          </w:p>
        </w:tc>
        <w:tc>
          <w:tcPr>
            <w:tcW w:w="4761" w:type="dxa"/>
            <w:tcBorders>
              <w:top w:val="nil"/>
              <w:left w:val="nil"/>
              <w:bottom w:val="single" w:sz="4" w:space="0" w:color="auto"/>
              <w:right w:val="single" w:sz="4" w:space="0" w:color="auto"/>
            </w:tcBorders>
            <w:shd w:val="clear" w:color="auto" w:fill="auto"/>
          </w:tcPr>
          <w:p w14:paraId="68FADCBB" w14:textId="77777777" w:rsidR="0017264D" w:rsidRDefault="00FB3710" w:rsidP="0017264D">
            <w:pPr>
              <w:pStyle w:val="CommentText"/>
              <w:rPr>
                <w:color w:val="000000"/>
                <w:lang w:val="en-GB" w:eastAsia="en-GB"/>
              </w:rPr>
            </w:pPr>
            <w:r w:rsidRPr="002F1F9B">
              <w:rPr>
                <w:color w:val="000000"/>
                <w:lang w:val="en-GB" w:eastAsia="en-GB"/>
              </w:rPr>
              <w:t>The sum of all (sub-) SCRs</w:t>
            </w:r>
            <w:r w:rsidR="0017264D">
              <w:rPr>
                <w:color w:val="000000"/>
                <w:lang w:val="en-GB" w:eastAsia="en-GB"/>
              </w:rPr>
              <w:t>.</w:t>
            </w:r>
          </w:p>
          <w:p w14:paraId="32C43382" w14:textId="77777777" w:rsidR="0017264D" w:rsidRDefault="0017264D" w:rsidP="0017264D">
            <w:pPr>
              <w:pStyle w:val="CommentText"/>
              <w:rPr>
                <w:color w:val="000000"/>
                <w:lang w:val="en-GB" w:eastAsia="en-GB"/>
              </w:rPr>
            </w:pPr>
          </w:p>
          <w:p w14:paraId="5CD6045A" w14:textId="2A73AD18" w:rsidR="0017264D" w:rsidRDefault="0017264D" w:rsidP="0017264D">
            <w:pPr>
              <w:pStyle w:val="CommentText"/>
            </w:pPr>
            <w:r>
              <w:t xml:space="preserve">For lapse </w:t>
            </w:r>
            <w:proofErr w:type="spellStart"/>
            <w:r>
              <w:t>please</w:t>
            </w:r>
            <w:proofErr w:type="spellEnd"/>
            <w:r>
              <w:t xml:space="preserve"> </w:t>
            </w:r>
            <w:proofErr w:type="spellStart"/>
            <w:r>
              <w:t>choose</w:t>
            </w:r>
            <w:proofErr w:type="spellEnd"/>
            <w:r>
              <w:t xml:space="preserve"> the </w:t>
            </w:r>
            <w:proofErr w:type="spellStart"/>
            <w:r>
              <w:t>sum</w:t>
            </w:r>
            <w:proofErr w:type="spellEnd"/>
            <w:r>
              <w:t xml:space="preserve"> as </w:t>
            </w:r>
            <w:proofErr w:type="spellStart"/>
            <w:r>
              <w:t>approriate</w:t>
            </w:r>
            <w:proofErr w:type="spellEnd"/>
            <w:r>
              <w:t xml:space="preserve"> to the </w:t>
            </w:r>
            <w:proofErr w:type="spellStart"/>
            <w:r>
              <w:t>splits</w:t>
            </w:r>
            <w:proofErr w:type="spellEnd"/>
            <w:r>
              <w:t xml:space="preserve"> </w:t>
            </w:r>
            <w:proofErr w:type="spellStart"/>
            <w:r>
              <w:t>presented</w:t>
            </w:r>
            <w:proofErr w:type="spellEnd"/>
            <w:r>
              <w:t xml:space="preserve"> on the </w:t>
            </w:r>
            <w:proofErr w:type="spellStart"/>
            <w:r>
              <w:t>most</w:t>
            </w:r>
            <w:proofErr w:type="spellEnd"/>
            <w:r>
              <w:t xml:space="preserve"> </w:t>
            </w:r>
            <w:proofErr w:type="spellStart"/>
            <w:r>
              <w:t>granular</w:t>
            </w:r>
            <w:proofErr w:type="spellEnd"/>
            <w:r>
              <w:t xml:space="preserve"> </w:t>
            </w:r>
            <w:proofErr w:type="spellStart"/>
            <w:r>
              <w:t>level</w:t>
            </w:r>
            <w:proofErr w:type="spellEnd"/>
            <w:r>
              <w:t>.</w:t>
            </w:r>
          </w:p>
          <w:p w14:paraId="2E3C47C6" w14:textId="7F9DA998" w:rsidR="00FB3710" w:rsidRPr="000C40A7" w:rsidRDefault="0017264D" w:rsidP="000C40A7">
            <w:pPr>
              <w:pStyle w:val="CommentText"/>
            </w:pPr>
            <w:proofErr w:type="spellStart"/>
            <w:r>
              <w:t>Examples</w:t>
            </w:r>
            <w:proofErr w:type="spellEnd"/>
            <w:r>
              <w:t xml:space="preserve">: (1) If lapse </w:t>
            </w:r>
            <w:proofErr w:type="spellStart"/>
            <w:r>
              <w:t>increase</w:t>
            </w:r>
            <w:proofErr w:type="spellEnd"/>
            <w:r>
              <w:t xml:space="preserve"> and lapse </w:t>
            </w:r>
            <w:proofErr w:type="spellStart"/>
            <w:r>
              <w:t>decrease</w:t>
            </w:r>
            <w:proofErr w:type="spellEnd"/>
            <w:r>
              <w:t xml:space="preserve"> and mass lapse are </w:t>
            </w:r>
            <w:proofErr w:type="spellStart"/>
            <w:r>
              <w:t>available</w:t>
            </w:r>
            <w:proofErr w:type="spellEnd"/>
            <w:r>
              <w:t xml:space="preserve"> </w:t>
            </w:r>
            <w:proofErr w:type="spellStart"/>
            <w:r>
              <w:t>plese</w:t>
            </w:r>
            <w:proofErr w:type="spellEnd"/>
            <w:r>
              <w:t xml:space="preserve"> </w:t>
            </w:r>
            <w:proofErr w:type="spellStart"/>
            <w:r>
              <w:t>sum</w:t>
            </w:r>
            <w:proofErr w:type="spellEnd"/>
            <w:r>
              <w:t xml:space="preserve"> up </w:t>
            </w:r>
            <w:proofErr w:type="spellStart"/>
            <w:r>
              <w:t>these</w:t>
            </w:r>
            <w:proofErr w:type="spellEnd"/>
            <w:r>
              <w:t xml:space="preserve">. </w:t>
            </w:r>
            <w:proofErr w:type="spellStart"/>
            <w:r>
              <w:t>Irrespectively</w:t>
            </w:r>
            <w:proofErr w:type="spellEnd"/>
            <w:r>
              <w:t xml:space="preserve"> if the lapse split </w:t>
            </w:r>
            <w:proofErr w:type="spellStart"/>
            <w:r>
              <w:t>is</w:t>
            </w:r>
            <w:proofErr w:type="spellEnd"/>
            <w:r>
              <w:t xml:space="preserve"> </w:t>
            </w:r>
            <w:proofErr w:type="spellStart"/>
            <w:r>
              <w:t>additionally</w:t>
            </w:r>
            <w:proofErr w:type="spellEnd"/>
            <w:r>
              <w:t xml:space="preserve"> </w:t>
            </w:r>
            <w:proofErr w:type="spellStart"/>
            <w:r>
              <w:t>available</w:t>
            </w:r>
            <w:proofErr w:type="spellEnd"/>
            <w:r>
              <w:t xml:space="preserve">. (2) If mass lapse and lapse split are </w:t>
            </w:r>
            <w:proofErr w:type="spellStart"/>
            <w:r>
              <w:t>available</w:t>
            </w:r>
            <w:proofErr w:type="spellEnd"/>
            <w:r>
              <w:t xml:space="preserve"> and </w:t>
            </w:r>
            <w:proofErr w:type="spellStart"/>
            <w:r>
              <w:t>also</w:t>
            </w:r>
            <w:proofErr w:type="spellEnd"/>
            <w:r>
              <w:t xml:space="preserve"> lapse split </w:t>
            </w:r>
            <w:proofErr w:type="spellStart"/>
            <w:r>
              <w:t>sublevels</w:t>
            </w:r>
            <w:proofErr w:type="spellEnd"/>
            <w:r>
              <w:t xml:space="preserve">, </w:t>
            </w:r>
            <w:proofErr w:type="spellStart"/>
            <w:r>
              <w:t>please</w:t>
            </w:r>
            <w:proofErr w:type="spellEnd"/>
            <w:r>
              <w:t xml:space="preserve"> </w:t>
            </w:r>
            <w:proofErr w:type="spellStart"/>
            <w:r>
              <w:t>take</w:t>
            </w:r>
            <w:proofErr w:type="spellEnd"/>
            <w:r>
              <w:t xml:space="preserve"> the </w:t>
            </w:r>
            <w:proofErr w:type="spellStart"/>
            <w:r>
              <w:t>sum</w:t>
            </w:r>
            <w:proofErr w:type="spellEnd"/>
            <w:r>
              <w:t xml:space="preserve"> of mass lapse and lapse split. If </w:t>
            </w:r>
            <w:proofErr w:type="spellStart"/>
            <w:r>
              <w:t>only</w:t>
            </w:r>
            <w:proofErr w:type="spellEnd"/>
            <w:r>
              <w:t xml:space="preserve"> </w:t>
            </w:r>
            <w:proofErr w:type="spellStart"/>
            <w:r>
              <w:t>sublevels</w:t>
            </w:r>
            <w:proofErr w:type="spellEnd"/>
            <w:r>
              <w:t xml:space="preserve"> of lapse split are </w:t>
            </w:r>
            <w:proofErr w:type="spellStart"/>
            <w:r>
              <w:t>available</w:t>
            </w:r>
            <w:proofErr w:type="spellEnd"/>
            <w:r>
              <w:t xml:space="preserve">, </w:t>
            </w:r>
            <w:proofErr w:type="spellStart"/>
            <w:r>
              <w:t>please</w:t>
            </w:r>
            <w:proofErr w:type="spellEnd"/>
            <w:r>
              <w:t xml:space="preserve"> chose </w:t>
            </w:r>
            <w:proofErr w:type="spellStart"/>
            <w:r>
              <w:t>those</w:t>
            </w:r>
            <w:proofErr w:type="spellEnd"/>
            <w:r>
              <w:t>.</w:t>
            </w:r>
          </w:p>
        </w:tc>
      </w:tr>
      <w:tr w:rsidR="00FB3710" w:rsidRPr="002F1F9B" w14:paraId="2E3C47D1"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C8" w14:textId="77777777" w:rsidR="00FB3710" w:rsidRPr="002F1F9B" w:rsidRDefault="00FB3710" w:rsidP="00FB3710">
            <w:pPr>
              <w:jc w:val="left"/>
              <w:rPr>
                <w:color w:val="000000"/>
                <w:sz w:val="20"/>
                <w:lang w:val="en-GB" w:eastAsia="en-GB"/>
              </w:rPr>
            </w:pPr>
            <w:r w:rsidRPr="002F1F9B">
              <w:rPr>
                <w:color w:val="000000"/>
                <w:sz w:val="20"/>
                <w:lang w:val="en-GB" w:eastAsia="en-GB"/>
              </w:rPr>
              <w:t>LH_LIF_SCR_R2_C1</w:t>
            </w:r>
          </w:p>
          <w:p w14:paraId="2E3C47C9" w14:textId="77777777" w:rsidR="00FB3710" w:rsidRPr="002F1F9B" w:rsidRDefault="00FB3710" w:rsidP="00FB3710">
            <w:pPr>
              <w:jc w:val="left"/>
              <w:rPr>
                <w:color w:val="000000"/>
                <w:sz w:val="20"/>
                <w:lang w:val="en-GB" w:eastAsia="en-GB"/>
              </w:rPr>
            </w:pPr>
            <w:r w:rsidRPr="002F1F9B">
              <w:rPr>
                <w:color w:val="000000"/>
                <w:sz w:val="20"/>
                <w:lang w:val="en-GB" w:eastAsia="en-GB"/>
              </w:rPr>
              <w:t>LH_HLT_SCR_R2_C1</w:t>
            </w:r>
          </w:p>
          <w:p w14:paraId="2E3C47CA" w14:textId="77777777" w:rsidR="00FB3710" w:rsidRPr="002F1F9B" w:rsidRDefault="00FB3710" w:rsidP="00FB3710">
            <w:pPr>
              <w:jc w:val="left"/>
              <w:rPr>
                <w:color w:val="000000"/>
                <w:sz w:val="20"/>
                <w:lang w:val="en-GB" w:eastAsia="en-GB"/>
              </w:rPr>
            </w:pPr>
            <w:r w:rsidRPr="002F1F9B">
              <w:rPr>
                <w:color w:val="000000"/>
                <w:sz w:val="20"/>
                <w:lang w:val="en-GB" w:eastAsia="en-GB"/>
              </w:rPr>
              <w:t>LH_SCR_XXX_R2_C1</w:t>
            </w:r>
          </w:p>
          <w:p w14:paraId="2E3C47CB" w14:textId="77777777" w:rsidR="00FB3710" w:rsidRPr="002F1F9B" w:rsidRDefault="00FB3710" w:rsidP="00FB3710">
            <w:pPr>
              <w:jc w:val="left"/>
              <w:rPr>
                <w:color w:val="000000"/>
                <w:sz w:val="20"/>
                <w:lang w:val="en-GB" w:eastAsia="en-GB"/>
              </w:rPr>
            </w:pPr>
          </w:p>
        </w:tc>
        <w:tc>
          <w:tcPr>
            <w:tcW w:w="0" w:type="auto"/>
            <w:tcBorders>
              <w:top w:val="nil"/>
              <w:left w:val="nil"/>
              <w:bottom w:val="single" w:sz="4" w:space="0" w:color="auto"/>
              <w:right w:val="single" w:sz="4" w:space="0" w:color="auto"/>
            </w:tcBorders>
            <w:shd w:val="clear" w:color="auto" w:fill="auto"/>
          </w:tcPr>
          <w:p w14:paraId="2E3C47CC" w14:textId="77777777" w:rsidR="00FB3710" w:rsidRPr="002F1F9B" w:rsidRDefault="00FB3710" w:rsidP="00FB3710">
            <w:pPr>
              <w:jc w:val="left"/>
              <w:rPr>
                <w:color w:val="000000"/>
                <w:sz w:val="20"/>
                <w:lang w:val="en-GB" w:eastAsia="en-GB"/>
              </w:rPr>
            </w:pPr>
            <w:r w:rsidRPr="002F1F9B">
              <w:rPr>
                <w:color w:val="000000"/>
                <w:sz w:val="20"/>
                <w:lang w:val="en-GB" w:eastAsia="en-GB"/>
              </w:rPr>
              <w:t>Diversification:</w:t>
            </w:r>
          </w:p>
          <w:p w14:paraId="2E3C47CD" w14:textId="77777777" w:rsidR="00FB3710" w:rsidRPr="002F1F9B" w:rsidRDefault="00FB3710" w:rsidP="00FB3710">
            <w:pPr>
              <w:jc w:val="left"/>
              <w:rPr>
                <w:color w:val="000000"/>
                <w:sz w:val="20"/>
                <w:lang w:val="en-GB" w:eastAsia="en-GB"/>
              </w:rPr>
            </w:pPr>
            <w:r w:rsidRPr="002F1F9B">
              <w:rPr>
                <w:color w:val="000000"/>
                <w:sz w:val="20"/>
                <w:lang w:val="en-GB" w:eastAsia="en-GB"/>
              </w:rPr>
              <w:t xml:space="preserve">Life underwriting, </w:t>
            </w:r>
          </w:p>
          <w:p w14:paraId="2E3C47CF" w14:textId="5477BFE7" w:rsidR="00FB3710" w:rsidRPr="002F1F9B" w:rsidRDefault="00FB3710" w:rsidP="00FB3710">
            <w:pPr>
              <w:jc w:val="left"/>
              <w:rPr>
                <w:color w:val="000000"/>
                <w:sz w:val="20"/>
                <w:lang w:val="en-GB" w:eastAsia="en-GB"/>
              </w:rPr>
            </w:pPr>
            <w:r w:rsidRPr="002F1F9B">
              <w:rPr>
                <w:color w:val="000000"/>
                <w:sz w:val="20"/>
                <w:lang w:val="en-GB" w:eastAsia="en-GB"/>
              </w:rPr>
              <w:t>Health underwriting, Life and Health underwriting</w:t>
            </w:r>
          </w:p>
        </w:tc>
        <w:tc>
          <w:tcPr>
            <w:tcW w:w="4761" w:type="dxa"/>
            <w:tcBorders>
              <w:top w:val="nil"/>
              <w:left w:val="nil"/>
              <w:bottom w:val="single" w:sz="4" w:space="0" w:color="auto"/>
              <w:right w:val="single" w:sz="4" w:space="0" w:color="auto"/>
            </w:tcBorders>
            <w:shd w:val="clear" w:color="auto" w:fill="auto"/>
          </w:tcPr>
          <w:p w14:paraId="2E3C47D0" w14:textId="77777777" w:rsidR="00FB3710" w:rsidRPr="002F1F9B" w:rsidRDefault="00FB3710" w:rsidP="00FB3710">
            <w:pPr>
              <w:jc w:val="left"/>
              <w:rPr>
                <w:color w:val="000000"/>
                <w:sz w:val="20"/>
                <w:lang w:val="en-GB" w:eastAsia="en-GB"/>
              </w:rPr>
            </w:pPr>
            <w:r w:rsidRPr="002F1F9B">
              <w:rPr>
                <w:color w:val="000000"/>
                <w:sz w:val="20"/>
                <w:lang w:val="en-GB" w:eastAsia="en-GB"/>
              </w:rPr>
              <w:t xml:space="preserve">The diversification between the </w:t>
            </w:r>
            <w:proofErr w:type="spellStart"/>
            <w:r w:rsidRPr="002F1F9B">
              <w:rPr>
                <w:color w:val="000000"/>
                <w:sz w:val="20"/>
                <w:lang w:val="en-GB" w:eastAsia="en-GB"/>
              </w:rPr>
              <w:t>subrisks</w:t>
            </w:r>
            <w:proofErr w:type="spellEnd"/>
            <w:r w:rsidRPr="002F1F9B">
              <w:rPr>
                <w:color w:val="000000"/>
                <w:sz w:val="20"/>
                <w:lang w:val="en-GB" w:eastAsia="en-GB"/>
              </w:rPr>
              <w:t xml:space="preserve"> </w:t>
            </w:r>
          </w:p>
        </w:tc>
      </w:tr>
      <w:tr w:rsidR="00FB3710" w:rsidRPr="002F1F9B" w14:paraId="2E3C47DC" w14:textId="77777777" w:rsidTr="00C24BEC">
        <w:trPr>
          <w:trHeight w:val="600"/>
        </w:trPr>
        <w:tc>
          <w:tcPr>
            <w:tcW w:w="2683" w:type="dxa"/>
            <w:tcBorders>
              <w:top w:val="nil"/>
              <w:left w:val="single" w:sz="4" w:space="0" w:color="auto"/>
              <w:bottom w:val="single" w:sz="4" w:space="0" w:color="auto"/>
              <w:right w:val="single" w:sz="4" w:space="0" w:color="auto"/>
            </w:tcBorders>
            <w:shd w:val="clear" w:color="auto" w:fill="auto"/>
          </w:tcPr>
          <w:p w14:paraId="2E3C47D2" w14:textId="77777777" w:rsidR="00FB3710" w:rsidRPr="002F1F9B" w:rsidRDefault="00FB3710" w:rsidP="00FB3710">
            <w:pPr>
              <w:jc w:val="left"/>
              <w:rPr>
                <w:color w:val="000000"/>
                <w:sz w:val="20"/>
                <w:lang w:val="en-GB" w:eastAsia="en-GB"/>
              </w:rPr>
            </w:pPr>
            <w:r w:rsidRPr="002F1F9B">
              <w:rPr>
                <w:color w:val="000000"/>
                <w:sz w:val="20"/>
                <w:lang w:val="en-GB" w:eastAsia="en-GB"/>
              </w:rPr>
              <w:t>LH_LIF_SCR_R3_C1</w:t>
            </w:r>
          </w:p>
          <w:p w14:paraId="2E3C47D3" w14:textId="77777777" w:rsidR="00FB3710" w:rsidRPr="002F1F9B" w:rsidRDefault="00FB3710" w:rsidP="00FB3710">
            <w:pPr>
              <w:jc w:val="left"/>
              <w:rPr>
                <w:color w:val="000000"/>
                <w:sz w:val="20"/>
                <w:lang w:val="en-GB" w:eastAsia="en-GB"/>
              </w:rPr>
            </w:pPr>
            <w:r w:rsidRPr="002F1F9B">
              <w:rPr>
                <w:color w:val="000000"/>
                <w:sz w:val="20"/>
                <w:lang w:val="en-GB" w:eastAsia="en-GB"/>
              </w:rPr>
              <w:t>LH_HLT_SCR_R3_C1</w:t>
            </w:r>
          </w:p>
          <w:p w14:paraId="2E3C47D4" w14:textId="77777777" w:rsidR="00FB3710" w:rsidRPr="002F1F9B" w:rsidRDefault="00FB3710" w:rsidP="00FB3710">
            <w:pPr>
              <w:jc w:val="left"/>
              <w:rPr>
                <w:color w:val="000000"/>
                <w:sz w:val="20"/>
                <w:lang w:val="en-GB" w:eastAsia="en-GB"/>
              </w:rPr>
            </w:pPr>
            <w:r w:rsidRPr="002F1F9B">
              <w:rPr>
                <w:color w:val="000000"/>
                <w:sz w:val="20"/>
                <w:lang w:val="en-GB" w:eastAsia="en-GB"/>
              </w:rPr>
              <w:t>LH_SCR_XXX_R3_C1</w:t>
            </w:r>
          </w:p>
          <w:p w14:paraId="2E3C47D5" w14:textId="77777777" w:rsidR="00FB3710" w:rsidRPr="002F1F9B" w:rsidRDefault="00FB3710" w:rsidP="00FB3710">
            <w:pPr>
              <w:jc w:val="left"/>
              <w:rPr>
                <w:color w:val="000000"/>
                <w:sz w:val="20"/>
                <w:lang w:val="en-GB" w:eastAsia="en-GB"/>
              </w:rPr>
            </w:pPr>
          </w:p>
        </w:tc>
        <w:tc>
          <w:tcPr>
            <w:tcW w:w="0" w:type="auto"/>
            <w:tcBorders>
              <w:top w:val="nil"/>
              <w:left w:val="nil"/>
              <w:bottom w:val="single" w:sz="4" w:space="0" w:color="auto"/>
              <w:right w:val="single" w:sz="4" w:space="0" w:color="auto"/>
            </w:tcBorders>
            <w:shd w:val="clear" w:color="auto" w:fill="auto"/>
          </w:tcPr>
          <w:p w14:paraId="2E3C47D6" w14:textId="77777777" w:rsidR="00FB3710" w:rsidRPr="002F1F9B" w:rsidRDefault="00FB3710" w:rsidP="00FB3710">
            <w:pPr>
              <w:jc w:val="left"/>
              <w:rPr>
                <w:color w:val="000000"/>
                <w:sz w:val="20"/>
                <w:lang w:val="en-GB" w:eastAsia="en-GB"/>
              </w:rPr>
            </w:pPr>
            <w:r w:rsidRPr="002F1F9B">
              <w:rPr>
                <w:color w:val="000000"/>
                <w:sz w:val="20"/>
                <w:lang w:val="en-GB" w:eastAsia="en-GB"/>
              </w:rPr>
              <w:t>Diversified risk:</w:t>
            </w:r>
          </w:p>
          <w:p w14:paraId="2E3C47D7" w14:textId="77777777" w:rsidR="00FB3710" w:rsidRPr="002F1F9B" w:rsidRDefault="00FB3710" w:rsidP="00FB3710">
            <w:pPr>
              <w:jc w:val="left"/>
              <w:rPr>
                <w:color w:val="000000"/>
                <w:sz w:val="20"/>
                <w:lang w:val="en-GB" w:eastAsia="en-GB"/>
              </w:rPr>
            </w:pPr>
            <w:r w:rsidRPr="002F1F9B">
              <w:rPr>
                <w:color w:val="000000"/>
                <w:sz w:val="20"/>
                <w:lang w:val="en-GB" w:eastAsia="en-GB"/>
              </w:rPr>
              <w:t xml:space="preserve">Life underwriting, </w:t>
            </w:r>
          </w:p>
          <w:p w14:paraId="2E3C47D9" w14:textId="5189D258" w:rsidR="00FB3710" w:rsidRPr="002F1F9B" w:rsidRDefault="00FB3710" w:rsidP="00FB3710">
            <w:pPr>
              <w:jc w:val="left"/>
              <w:rPr>
                <w:color w:val="000000"/>
                <w:sz w:val="20"/>
                <w:lang w:val="en-GB" w:eastAsia="en-GB"/>
              </w:rPr>
            </w:pPr>
            <w:r w:rsidRPr="002F1F9B">
              <w:rPr>
                <w:color w:val="000000"/>
                <w:sz w:val="20"/>
                <w:lang w:val="en-GB" w:eastAsia="en-GB"/>
              </w:rPr>
              <w:t>Health underwriting, Life and Health underwriting</w:t>
            </w:r>
          </w:p>
        </w:tc>
        <w:tc>
          <w:tcPr>
            <w:tcW w:w="4761" w:type="dxa"/>
            <w:tcBorders>
              <w:top w:val="nil"/>
              <w:left w:val="nil"/>
              <w:bottom w:val="single" w:sz="4" w:space="0" w:color="auto"/>
              <w:right w:val="single" w:sz="4" w:space="0" w:color="auto"/>
            </w:tcBorders>
            <w:shd w:val="clear" w:color="auto" w:fill="auto"/>
          </w:tcPr>
          <w:p w14:paraId="2E3C47DA" w14:textId="704301B6" w:rsidR="00FB3710" w:rsidRPr="002F1F9B" w:rsidRDefault="00FB3710" w:rsidP="00FB3710">
            <w:pPr>
              <w:jc w:val="left"/>
              <w:rPr>
                <w:sz w:val="20"/>
                <w:lang w:val="en-GB" w:eastAsia="en-GB"/>
              </w:rPr>
            </w:pPr>
            <w:r w:rsidRPr="002F1F9B">
              <w:rPr>
                <w:sz w:val="20"/>
                <w:lang w:val="en-GB" w:eastAsia="en-GB"/>
              </w:rPr>
              <w:t xml:space="preserve">The aggregated SCR Life and Health risk after aggregating all </w:t>
            </w:r>
            <w:proofErr w:type="spellStart"/>
            <w:r w:rsidRPr="002F1F9B">
              <w:rPr>
                <w:sz w:val="20"/>
                <w:lang w:val="en-GB" w:eastAsia="en-GB"/>
              </w:rPr>
              <w:t>subrisks</w:t>
            </w:r>
            <w:proofErr w:type="spellEnd"/>
            <w:r w:rsidRPr="002F1F9B">
              <w:rPr>
                <w:sz w:val="20"/>
                <w:lang w:val="en-GB" w:eastAsia="en-GB"/>
              </w:rPr>
              <w:t xml:space="preserve"> </w:t>
            </w:r>
          </w:p>
          <w:p w14:paraId="2E3C47DB" w14:textId="77777777" w:rsidR="00FB3710" w:rsidRPr="002F1F9B" w:rsidRDefault="00FB3710" w:rsidP="00FB3710">
            <w:pPr>
              <w:jc w:val="left"/>
              <w:rPr>
                <w:color w:val="000000"/>
                <w:sz w:val="20"/>
                <w:lang w:val="en-GB" w:eastAsia="en-GB"/>
              </w:rPr>
            </w:pPr>
          </w:p>
        </w:tc>
      </w:tr>
    </w:tbl>
    <w:p w14:paraId="2E3C47DD" w14:textId="77777777" w:rsidR="007A15AF" w:rsidRPr="002F1F9B" w:rsidRDefault="007A15AF" w:rsidP="009E707E">
      <w:pPr>
        <w:rPr>
          <w:sz w:val="20"/>
          <w:lang w:val="en-GB"/>
        </w:rPr>
      </w:pPr>
    </w:p>
    <w:sectPr w:rsidR="007A15AF" w:rsidRPr="002F1F9B" w:rsidSect="0061247F">
      <w:footerReference w:type="default" r:id="rId11"/>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AFB85" w14:textId="77777777" w:rsidR="00CA386B" w:rsidRDefault="00CA386B" w:rsidP="008D2D36">
      <w:r>
        <w:separator/>
      </w:r>
    </w:p>
  </w:endnote>
  <w:endnote w:type="continuationSeparator" w:id="0">
    <w:p w14:paraId="68AA8A1C" w14:textId="77777777" w:rsidR="00CA386B" w:rsidRDefault="00CA386B"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283485"/>
      <w:docPartObj>
        <w:docPartGallery w:val="Page Numbers (Bottom of Page)"/>
        <w:docPartUnique/>
      </w:docPartObj>
    </w:sdtPr>
    <w:sdtEndPr/>
    <w:sdtContent>
      <w:sdt>
        <w:sdtPr>
          <w:id w:val="1728636285"/>
          <w:docPartObj>
            <w:docPartGallery w:val="Page Numbers (Top of Page)"/>
            <w:docPartUnique/>
          </w:docPartObj>
        </w:sdtPr>
        <w:sdtEndPr/>
        <w:sdtContent>
          <w:p w14:paraId="41E59BC5" w14:textId="416010D5" w:rsidR="00FC1164" w:rsidRDefault="00FC1164" w:rsidP="00511C2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7363C">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7363C">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02CA2" w14:textId="77777777" w:rsidR="00CA386B" w:rsidRDefault="00CA386B" w:rsidP="008D2D36">
      <w:r>
        <w:separator/>
      </w:r>
    </w:p>
  </w:footnote>
  <w:footnote w:type="continuationSeparator" w:id="0">
    <w:p w14:paraId="5391FD31" w14:textId="77777777" w:rsidR="00CA386B" w:rsidRDefault="00CA386B" w:rsidP="008D2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802B5"/>
    <w:multiLevelType w:val="hybridMultilevel"/>
    <w:tmpl w:val="8A5C599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40A3499"/>
    <w:multiLevelType w:val="hybridMultilevel"/>
    <w:tmpl w:val="7F52F1A0"/>
    <w:lvl w:ilvl="0" w:tplc="6BFE58B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1766F53"/>
    <w:multiLevelType w:val="hybridMultilevel"/>
    <w:tmpl w:val="8A5C599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75D43"/>
    <w:multiLevelType w:val="hybridMultilevel"/>
    <w:tmpl w:val="30A6E0E6"/>
    <w:lvl w:ilvl="0" w:tplc="BDA263CE">
      <w:start w:val="1"/>
      <w:numFmt w:val="lowerLetter"/>
      <w:lvlText w:val="%1)"/>
      <w:lvlJc w:val="left"/>
      <w:pPr>
        <w:ind w:left="720" w:hanging="360"/>
      </w:pPr>
      <w:rPr>
        <w:rFonts w:ascii="Verdana" w:hAnsi="Verdana" w:hint="default"/>
        <w:b w:val="0"/>
        <w:i w:val="0"/>
        <w:caps w:val="0"/>
        <w:strike w:val="0"/>
        <w:dstrike w:val="0"/>
        <w:vanish w:val="0"/>
        <w:color w:val="auto"/>
        <w:sz w:val="22"/>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10" w15:restartNumberingAfterBreak="0">
    <w:nsid w:val="7A585614"/>
    <w:multiLevelType w:val="hybridMultilevel"/>
    <w:tmpl w:val="E38E5D9E"/>
    <w:lvl w:ilvl="0" w:tplc="B49A16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1"/>
  </w:num>
  <w:num w:numId="7">
    <w:abstractNumId w:val="4"/>
  </w:num>
  <w:num w:numId="8">
    <w:abstractNumId w:val="2"/>
  </w:num>
  <w:num w:numId="9">
    <w:abstractNumId w:val="7"/>
  </w:num>
  <w:num w:numId="10">
    <w:abstractNumId w:val="8"/>
  </w:num>
  <w:num w:numId="11">
    <w:abstractNumId w:val="6"/>
  </w:num>
  <w:num w:numId="12">
    <w:abstractNumId w:val="0"/>
  </w:num>
  <w:num w:numId="13">
    <w:abstractNumId w:val="3"/>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22A85"/>
    <w:rsid w:val="00003D26"/>
    <w:rsid w:val="00004C69"/>
    <w:rsid w:val="0001153B"/>
    <w:rsid w:val="0001289D"/>
    <w:rsid w:val="00013791"/>
    <w:rsid w:val="0001723E"/>
    <w:rsid w:val="000211FB"/>
    <w:rsid w:val="0003282E"/>
    <w:rsid w:val="000373DF"/>
    <w:rsid w:val="00040CC7"/>
    <w:rsid w:val="00051B57"/>
    <w:rsid w:val="00053B26"/>
    <w:rsid w:val="0005525D"/>
    <w:rsid w:val="00060DFE"/>
    <w:rsid w:val="0006407E"/>
    <w:rsid w:val="0006735D"/>
    <w:rsid w:val="000702F5"/>
    <w:rsid w:val="00070338"/>
    <w:rsid w:val="00071B16"/>
    <w:rsid w:val="0007338F"/>
    <w:rsid w:val="00074EE7"/>
    <w:rsid w:val="00075455"/>
    <w:rsid w:val="000768BC"/>
    <w:rsid w:val="00077333"/>
    <w:rsid w:val="0008023B"/>
    <w:rsid w:val="00082BBC"/>
    <w:rsid w:val="00083EE1"/>
    <w:rsid w:val="00084FD7"/>
    <w:rsid w:val="00085E39"/>
    <w:rsid w:val="000870E3"/>
    <w:rsid w:val="00087365"/>
    <w:rsid w:val="000928F4"/>
    <w:rsid w:val="000938B7"/>
    <w:rsid w:val="000A661C"/>
    <w:rsid w:val="000A734B"/>
    <w:rsid w:val="000A7867"/>
    <w:rsid w:val="000B0226"/>
    <w:rsid w:val="000B2490"/>
    <w:rsid w:val="000B2502"/>
    <w:rsid w:val="000B4CD3"/>
    <w:rsid w:val="000B664E"/>
    <w:rsid w:val="000B6A32"/>
    <w:rsid w:val="000C3476"/>
    <w:rsid w:val="000C3928"/>
    <w:rsid w:val="000C3E5C"/>
    <w:rsid w:val="000C40A7"/>
    <w:rsid w:val="000D32DD"/>
    <w:rsid w:val="000D63A0"/>
    <w:rsid w:val="000E0FD3"/>
    <w:rsid w:val="000E2D20"/>
    <w:rsid w:val="000E35E7"/>
    <w:rsid w:val="000E3FCC"/>
    <w:rsid w:val="000E42DE"/>
    <w:rsid w:val="000E4816"/>
    <w:rsid w:val="000E5A0F"/>
    <w:rsid w:val="000E7D3E"/>
    <w:rsid w:val="000F0A23"/>
    <w:rsid w:val="001026A7"/>
    <w:rsid w:val="001067B3"/>
    <w:rsid w:val="00110526"/>
    <w:rsid w:val="0011172B"/>
    <w:rsid w:val="00111B2B"/>
    <w:rsid w:val="00113798"/>
    <w:rsid w:val="00115A69"/>
    <w:rsid w:val="001167B1"/>
    <w:rsid w:val="00116814"/>
    <w:rsid w:val="00116897"/>
    <w:rsid w:val="00121A03"/>
    <w:rsid w:val="001265AD"/>
    <w:rsid w:val="00131135"/>
    <w:rsid w:val="0013223C"/>
    <w:rsid w:val="001363A9"/>
    <w:rsid w:val="00137079"/>
    <w:rsid w:val="001415CB"/>
    <w:rsid w:val="00142F62"/>
    <w:rsid w:val="00147380"/>
    <w:rsid w:val="0015063B"/>
    <w:rsid w:val="00155B20"/>
    <w:rsid w:val="001600C6"/>
    <w:rsid w:val="00164734"/>
    <w:rsid w:val="00166AAF"/>
    <w:rsid w:val="00166CA4"/>
    <w:rsid w:val="0016734F"/>
    <w:rsid w:val="00167C37"/>
    <w:rsid w:val="00167F22"/>
    <w:rsid w:val="0017264D"/>
    <w:rsid w:val="0017488C"/>
    <w:rsid w:val="00176EA4"/>
    <w:rsid w:val="00180C48"/>
    <w:rsid w:val="00184E29"/>
    <w:rsid w:val="00186D35"/>
    <w:rsid w:val="001963D7"/>
    <w:rsid w:val="00196AA8"/>
    <w:rsid w:val="00196EE4"/>
    <w:rsid w:val="00197153"/>
    <w:rsid w:val="001979E6"/>
    <w:rsid w:val="001A06D9"/>
    <w:rsid w:val="001A0A97"/>
    <w:rsid w:val="001A16A0"/>
    <w:rsid w:val="001A17EC"/>
    <w:rsid w:val="001A43CA"/>
    <w:rsid w:val="001A587B"/>
    <w:rsid w:val="001B2FCD"/>
    <w:rsid w:val="001B48AF"/>
    <w:rsid w:val="001B5CC1"/>
    <w:rsid w:val="001C4C03"/>
    <w:rsid w:val="001C73D4"/>
    <w:rsid w:val="001D7D45"/>
    <w:rsid w:val="001E0D71"/>
    <w:rsid w:val="001E1BF5"/>
    <w:rsid w:val="001E26F5"/>
    <w:rsid w:val="001E5379"/>
    <w:rsid w:val="001E70DF"/>
    <w:rsid w:val="001E7BA3"/>
    <w:rsid w:val="001E7D18"/>
    <w:rsid w:val="001F10F3"/>
    <w:rsid w:val="001F77EC"/>
    <w:rsid w:val="00200EE4"/>
    <w:rsid w:val="00201A25"/>
    <w:rsid w:val="00204297"/>
    <w:rsid w:val="00211714"/>
    <w:rsid w:val="00217A1F"/>
    <w:rsid w:val="002205AB"/>
    <w:rsid w:val="00220E62"/>
    <w:rsid w:val="00221311"/>
    <w:rsid w:val="00223CE2"/>
    <w:rsid w:val="002255D8"/>
    <w:rsid w:val="0022581D"/>
    <w:rsid w:val="00227CE1"/>
    <w:rsid w:val="00233377"/>
    <w:rsid w:val="00242612"/>
    <w:rsid w:val="0024434C"/>
    <w:rsid w:val="0024475C"/>
    <w:rsid w:val="002457A0"/>
    <w:rsid w:val="00245EB5"/>
    <w:rsid w:val="00260254"/>
    <w:rsid w:val="00265D70"/>
    <w:rsid w:val="002714C0"/>
    <w:rsid w:val="00273F20"/>
    <w:rsid w:val="00277271"/>
    <w:rsid w:val="0028118F"/>
    <w:rsid w:val="00285750"/>
    <w:rsid w:val="00290AAC"/>
    <w:rsid w:val="00293DD3"/>
    <w:rsid w:val="002A4C9E"/>
    <w:rsid w:val="002A4CB0"/>
    <w:rsid w:val="002A4CEE"/>
    <w:rsid w:val="002A611C"/>
    <w:rsid w:val="002B35D3"/>
    <w:rsid w:val="002B5534"/>
    <w:rsid w:val="002B748C"/>
    <w:rsid w:val="002C232F"/>
    <w:rsid w:val="002C3F70"/>
    <w:rsid w:val="002C4D5F"/>
    <w:rsid w:val="002D1F0F"/>
    <w:rsid w:val="002D48B2"/>
    <w:rsid w:val="002D7D96"/>
    <w:rsid w:val="002E162C"/>
    <w:rsid w:val="002E23B7"/>
    <w:rsid w:val="002E6C76"/>
    <w:rsid w:val="002E731A"/>
    <w:rsid w:val="002F1F9B"/>
    <w:rsid w:val="002F64EF"/>
    <w:rsid w:val="002F6D84"/>
    <w:rsid w:val="002F79DE"/>
    <w:rsid w:val="00300965"/>
    <w:rsid w:val="00301893"/>
    <w:rsid w:val="0030281C"/>
    <w:rsid w:val="00302CF2"/>
    <w:rsid w:val="0030610E"/>
    <w:rsid w:val="00307198"/>
    <w:rsid w:val="0030797D"/>
    <w:rsid w:val="00310324"/>
    <w:rsid w:val="0031363C"/>
    <w:rsid w:val="003203D7"/>
    <w:rsid w:val="0032264C"/>
    <w:rsid w:val="00322E64"/>
    <w:rsid w:val="003243EB"/>
    <w:rsid w:val="0032528A"/>
    <w:rsid w:val="00325CCE"/>
    <w:rsid w:val="0032718B"/>
    <w:rsid w:val="003279C4"/>
    <w:rsid w:val="00327BF8"/>
    <w:rsid w:val="003307D2"/>
    <w:rsid w:val="00331383"/>
    <w:rsid w:val="00331622"/>
    <w:rsid w:val="003323F6"/>
    <w:rsid w:val="0033677F"/>
    <w:rsid w:val="00336BAB"/>
    <w:rsid w:val="00337DCB"/>
    <w:rsid w:val="0034031E"/>
    <w:rsid w:val="003418AB"/>
    <w:rsid w:val="00343B0C"/>
    <w:rsid w:val="00343F60"/>
    <w:rsid w:val="00343FBC"/>
    <w:rsid w:val="00345CB1"/>
    <w:rsid w:val="003461A0"/>
    <w:rsid w:val="0034791F"/>
    <w:rsid w:val="00353AB0"/>
    <w:rsid w:val="00354599"/>
    <w:rsid w:val="003620F9"/>
    <w:rsid w:val="00364303"/>
    <w:rsid w:val="00365327"/>
    <w:rsid w:val="00367B3F"/>
    <w:rsid w:val="00370F19"/>
    <w:rsid w:val="00375F51"/>
    <w:rsid w:val="003761B2"/>
    <w:rsid w:val="00380EFC"/>
    <w:rsid w:val="00390EBB"/>
    <w:rsid w:val="00391BA1"/>
    <w:rsid w:val="003920A4"/>
    <w:rsid w:val="00392304"/>
    <w:rsid w:val="003944ED"/>
    <w:rsid w:val="00394D21"/>
    <w:rsid w:val="00395CA7"/>
    <w:rsid w:val="003A0098"/>
    <w:rsid w:val="003A02AA"/>
    <w:rsid w:val="003A0D0B"/>
    <w:rsid w:val="003A46A6"/>
    <w:rsid w:val="003A47A1"/>
    <w:rsid w:val="003A6F09"/>
    <w:rsid w:val="003B020B"/>
    <w:rsid w:val="003B0480"/>
    <w:rsid w:val="003B5977"/>
    <w:rsid w:val="003B599D"/>
    <w:rsid w:val="003C13E4"/>
    <w:rsid w:val="003C2704"/>
    <w:rsid w:val="003C2DBC"/>
    <w:rsid w:val="003C3306"/>
    <w:rsid w:val="003C381C"/>
    <w:rsid w:val="003D01BF"/>
    <w:rsid w:val="003D5084"/>
    <w:rsid w:val="003E7A81"/>
    <w:rsid w:val="003E7CBE"/>
    <w:rsid w:val="003F2FA6"/>
    <w:rsid w:val="003F60DD"/>
    <w:rsid w:val="003F6E7D"/>
    <w:rsid w:val="004022DB"/>
    <w:rsid w:val="00402F7F"/>
    <w:rsid w:val="00410171"/>
    <w:rsid w:val="004119B1"/>
    <w:rsid w:val="004175DA"/>
    <w:rsid w:val="00420F1E"/>
    <w:rsid w:val="004248B4"/>
    <w:rsid w:val="00426462"/>
    <w:rsid w:val="00434B53"/>
    <w:rsid w:val="0043512B"/>
    <w:rsid w:val="004409C6"/>
    <w:rsid w:val="00440EFC"/>
    <w:rsid w:val="00442AD4"/>
    <w:rsid w:val="00443287"/>
    <w:rsid w:val="004432E0"/>
    <w:rsid w:val="00445B30"/>
    <w:rsid w:val="00446608"/>
    <w:rsid w:val="00447703"/>
    <w:rsid w:val="00450F49"/>
    <w:rsid w:val="00451D0E"/>
    <w:rsid w:val="00452E5E"/>
    <w:rsid w:val="0045382C"/>
    <w:rsid w:val="00453C8C"/>
    <w:rsid w:val="00455803"/>
    <w:rsid w:val="00455BA3"/>
    <w:rsid w:val="0045796C"/>
    <w:rsid w:val="004624E2"/>
    <w:rsid w:val="004624E7"/>
    <w:rsid w:val="00462C3E"/>
    <w:rsid w:val="00463075"/>
    <w:rsid w:val="00466C98"/>
    <w:rsid w:val="0047363C"/>
    <w:rsid w:val="004771C2"/>
    <w:rsid w:val="00480F23"/>
    <w:rsid w:val="0048156C"/>
    <w:rsid w:val="00487626"/>
    <w:rsid w:val="00490467"/>
    <w:rsid w:val="00490D4A"/>
    <w:rsid w:val="00495E5E"/>
    <w:rsid w:val="00496E58"/>
    <w:rsid w:val="004A09B4"/>
    <w:rsid w:val="004A1728"/>
    <w:rsid w:val="004B158C"/>
    <w:rsid w:val="004B21A1"/>
    <w:rsid w:val="004B3274"/>
    <w:rsid w:val="004B35C0"/>
    <w:rsid w:val="004B39B0"/>
    <w:rsid w:val="004B6001"/>
    <w:rsid w:val="004B79BA"/>
    <w:rsid w:val="004C5A69"/>
    <w:rsid w:val="004D2714"/>
    <w:rsid w:val="004D29E3"/>
    <w:rsid w:val="004D385A"/>
    <w:rsid w:val="004D4390"/>
    <w:rsid w:val="004D4C42"/>
    <w:rsid w:val="004E1EA1"/>
    <w:rsid w:val="004E3C77"/>
    <w:rsid w:val="004E4786"/>
    <w:rsid w:val="004E488A"/>
    <w:rsid w:val="004E5465"/>
    <w:rsid w:val="004F0AF8"/>
    <w:rsid w:val="0050070A"/>
    <w:rsid w:val="00500AF0"/>
    <w:rsid w:val="00505C1E"/>
    <w:rsid w:val="00505DC5"/>
    <w:rsid w:val="005073E1"/>
    <w:rsid w:val="00507B30"/>
    <w:rsid w:val="00510299"/>
    <w:rsid w:val="00511C2F"/>
    <w:rsid w:val="005139F6"/>
    <w:rsid w:val="00516303"/>
    <w:rsid w:val="00520328"/>
    <w:rsid w:val="005244E6"/>
    <w:rsid w:val="005257DB"/>
    <w:rsid w:val="00541942"/>
    <w:rsid w:val="00541DA4"/>
    <w:rsid w:val="00547102"/>
    <w:rsid w:val="00552429"/>
    <w:rsid w:val="00554A52"/>
    <w:rsid w:val="00555995"/>
    <w:rsid w:val="00555CDC"/>
    <w:rsid w:val="005618EC"/>
    <w:rsid w:val="0056191B"/>
    <w:rsid w:val="0056452B"/>
    <w:rsid w:val="00564FF5"/>
    <w:rsid w:val="00571CAA"/>
    <w:rsid w:val="00572E23"/>
    <w:rsid w:val="0057456E"/>
    <w:rsid w:val="00575A2E"/>
    <w:rsid w:val="00580AD0"/>
    <w:rsid w:val="00585D0C"/>
    <w:rsid w:val="0058698F"/>
    <w:rsid w:val="005869BA"/>
    <w:rsid w:val="005954D5"/>
    <w:rsid w:val="005969FD"/>
    <w:rsid w:val="00596C5A"/>
    <w:rsid w:val="005A0EEE"/>
    <w:rsid w:val="005A5EF2"/>
    <w:rsid w:val="005A5F2F"/>
    <w:rsid w:val="005A72D8"/>
    <w:rsid w:val="005A74E8"/>
    <w:rsid w:val="005B5A7D"/>
    <w:rsid w:val="005B5F84"/>
    <w:rsid w:val="005C2118"/>
    <w:rsid w:val="005C22D1"/>
    <w:rsid w:val="005C49C3"/>
    <w:rsid w:val="005D2CD3"/>
    <w:rsid w:val="005E1809"/>
    <w:rsid w:val="005E2EFE"/>
    <w:rsid w:val="005E345E"/>
    <w:rsid w:val="005E4DC7"/>
    <w:rsid w:val="005E5B66"/>
    <w:rsid w:val="005E6EF5"/>
    <w:rsid w:val="005E724E"/>
    <w:rsid w:val="005F3621"/>
    <w:rsid w:val="005F5C4D"/>
    <w:rsid w:val="00601355"/>
    <w:rsid w:val="006055F2"/>
    <w:rsid w:val="00610DA1"/>
    <w:rsid w:val="0061247F"/>
    <w:rsid w:val="00612B8F"/>
    <w:rsid w:val="00614C59"/>
    <w:rsid w:val="00615AD9"/>
    <w:rsid w:val="00615BF1"/>
    <w:rsid w:val="00617D80"/>
    <w:rsid w:val="00622805"/>
    <w:rsid w:val="00624212"/>
    <w:rsid w:val="006254B2"/>
    <w:rsid w:val="006264CE"/>
    <w:rsid w:val="00630146"/>
    <w:rsid w:val="00631D26"/>
    <w:rsid w:val="00634D27"/>
    <w:rsid w:val="0063566C"/>
    <w:rsid w:val="00640D15"/>
    <w:rsid w:val="00644BE5"/>
    <w:rsid w:val="00647901"/>
    <w:rsid w:val="00653E72"/>
    <w:rsid w:val="00654BFB"/>
    <w:rsid w:val="00655C63"/>
    <w:rsid w:val="00663630"/>
    <w:rsid w:val="0066473F"/>
    <w:rsid w:val="00666BE0"/>
    <w:rsid w:val="006740A3"/>
    <w:rsid w:val="0067708C"/>
    <w:rsid w:val="00691200"/>
    <w:rsid w:val="00691E9A"/>
    <w:rsid w:val="006932C3"/>
    <w:rsid w:val="00693377"/>
    <w:rsid w:val="00694738"/>
    <w:rsid w:val="0069526F"/>
    <w:rsid w:val="006A0931"/>
    <w:rsid w:val="006A498B"/>
    <w:rsid w:val="006A627D"/>
    <w:rsid w:val="006B06D6"/>
    <w:rsid w:val="006B5436"/>
    <w:rsid w:val="006B6D3B"/>
    <w:rsid w:val="006C34BB"/>
    <w:rsid w:val="006C39CF"/>
    <w:rsid w:val="006C6100"/>
    <w:rsid w:val="006D1ED8"/>
    <w:rsid w:val="006D5A3D"/>
    <w:rsid w:val="006D6C51"/>
    <w:rsid w:val="006D7F76"/>
    <w:rsid w:val="006E11F2"/>
    <w:rsid w:val="006E3A17"/>
    <w:rsid w:val="006E6B60"/>
    <w:rsid w:val="006E726E"/>
    <w:rsid w:val="006F06D5"/>
    <w:rsid w:val="006F0C30"/>
    <w:rsid w:val="006F3B98"/>
    <w:rsid w:val="006F3D10"/>
    <w:rsid w:val="006F538A"/>
    <w:rsid w:val="006F59BD"/>
    <w:rsid w:val="007000E3"/>
    <w:rsid w:val="0070337C"/>
    <w:rsid w:val="007041EF"/>
    <w:rsid w:val="00705FE7"/>
    <w:rsid w:val="0070760F"/>
    <w:rsid w:val="00707FE0"/>
    <w:rsid w:val="00712544"/>
    <w:rsid w:val="00714A7B"/>
    <w:rsid w:val="00716CB9"/>
    <w:rsid w:val="007215EF"/>
    <w:rsid w:val="00721825"/>
    <w:rsid w:val="00725F6B"/>
    <w:rsid w:val="00732E84"/>
    <w:rsid w:val="00733760"/>
    <w:rsid w:val="00735F19"/>
    <w:rsid w:val="00746525"/>
    <w:rsid w:val="0074666D"/>
    <w:rsid w:val="0075114F"/>
    <w:rsid w:val="00751419"/>
    <w:rsid w:val="00754F86"/>
    <w:rsid w:val="007559E9"/>
    <w:rsid w:val="00760798"/>
    <w:rsid w:val="00761109"/>
    <w:rsid w:val="007618EF"/>
    <w:rsid w:val="00761ED5"/>
    <w:rsid w:val="00762141"/>
    <w:rsid w:val="00762DB1"/>
    <w:rsid w:val="00767F14"/>
    <w:rsid w:val="00774E1C"/>
    <w:rsid w:val="007758DA"/>
    <w:rsid w:val="00780B08"/>
    <w:rsid w:val="00782F5A"/>
    <w:rsid w:val="007848BA"/>
    <w:rsid w:val="00785939"/>
    <w:rsid w:val="00786131"/>
    <w:rsid w:val="00786709"/>
    <w:rsid w:val="007876B4"/>
    <w:rsid w:val="00787F7D"/>
    <w:rsid w:val="00791C4A"/>
    <w:rsid w:val="00796510"/>
    <w:rsid w:val="007A15AF"/>
    <w:rsid w:val="007B4BB8"/>
    <w:rsid w:val="007B719F"/>
    <w:rsid w:val="007C104A"/>
    <w:rsid w:val="007C3373"/>
    <w:rsid w:val="007C7128"/>
    <w:rsid w:val="007D3575"/>
    <w:rsid w:val="007E461F"/>
    <w:rsid w:val="007E7164"/>
    <w:rsid w:val="007F0648"/>
    <w:rsid w:val="007F1437"/>
    <w:rsid w:val="007F7F43"/>
    <w:rsid w:val="0080015C"/>
    <w:rsid w:val="00802606"/>
    <w:rsid w:val="0080538D"/>
    <w:rsid w:val="00805F5E"/>
    <w:rsid w:val="00806666"/>
    <w:rsid w:val="00807369"/>
    <w:rsid w:val="008121E6"/>
    <w:rsid w:val="00813D89"/>
    <w:rsid w:val="00817C09"/>
    <w:rsid w:val="00820A66"/>
    <w:rsid w:val="00821F18"/>
    <w:rsid w:val="00827C4D"/>
    <w:rsid w:val="00830019"/>
    <w:rsid w:val="00830819"/>
    <w:rsid w:val="008324B1"/>
    <w:rsid w:val="00833420"/>
    <w:rsid w:val="00833B48"/>
    <w:rsid w:val="00833F12"/>
    <w:rsid w:val="00834139"/>
    <w:rsid w:val="00840AD0"/>
    <w:rsid w:val="00841C27"/>
    <w:rsid w:val="00841E99"/>
    <w:rsid w:val="008435EA"/>
    <w:rsid w:val="008503F4"/>
    <w:rsid w:val="00855D72"/>
    <w:rsid w:val="0086207A"/>
    <w:rsid w:val="00864E05"/>
    <w:rsid w:val="00871250"/>
    <w:rsid w:val="00871B0B"/>
    <w:rsid w:val="00877C06"/>
    <w:rsid w:val="00881D22"/>
    <w:rsid w:val="00882042"/>
    <w:rsid w:val="00882E51"/>
    <w:rsid w:val="008840A8"/>
    <w:rsid w:val="008840CA"/>
    <w:rsid w:val="00886AEE"/>
    <w:rsid w:val="008879E4"/>
    <w:rsid w:val="00893D17"/>
    <w:rsid w:val="00894FA6"/>
    <w:rsid w:val="008A267F"/>
    <w:rsid w:val="008A2748"/>
    <w:rsid w:val="008B0B70"/>
    <w:rsid w:val="008B0EB1"/>
    <w:rsid w:val="008B3C5B"/>
    <w:rsid w:val="008B5017"/>
    <w:rsid w:val="008B7421"/>
    <w:rsid w:val="008C16A7"/>
    <w:rsid w:val="008C24D5"/>
    <w:rsid w:val="008C4B5D"/>
    <w:rsid w:val="008C6990"/>
    <w:rsid w:val="008D0487"/>
    <w:rsid w:val="008D0790"/>
    <w:rsid w:val="008D2D36"/>
    <w:rsid w:val="008D4821"/>
    <w:rsid w:val="008E294C"/>
    <w:rsid w:val="008E2CA9"/>
    <w:rsid w:val="008E3AFC"/>
    <w:rsid w:val="008E5B4D"/>
    <w:rsid w:val="008F4792"/>
    <w:rsid w:val="00903C36"/>
    <w:rsid w:val="00903C57"/>
    <w:rsid w:val="009077AF"/>
    <w:rsid w:val="009121C4"/>
    <w:rsid w:val="009174E7"/>
    <w:rsid w:val="00921AF2"/>
    <w:rsid w:val="009239BD"/>
    <w:rsid w:val="00932AAD"/>
    <w:rsid w:val="00934819"/>
    <w:rsid w:val="009373A8"/>
    <w:rsid w:val="00946BAF"/>
    <w:rsid w:val="00946E79"/>
    <w:rsid w:val="0094700D"/>
    <w:rsid w:val="00947C81"/>
    <w:rsid w:val="009566FB"/>
    <w:rsid w:val="00962C70"/>
    <w:rsid w:val="00965223"/>
    <w:rsid w:val="00971D94"/>
    <w:rsid w:val="00975499"/>
    <w:rsid w:val="0097554E"/>
    <w:rsid w:val="00975C85"/>
    <w:rsid w:val="0098295D"/>
    <w:rsid w:val="009856DE"/>
    <w:rsid w:val="00987C10"/>
    <w:rsid w:val="00987D36"/>
    <w:rsid w:val="009955D3"/>
    <w:rsid w:val="009A0952"/>
    <w:rsid w:val="009A3FE5"/>
    <w:rsid w:val="009A6A5C"/>
    <w:rsid w:val="009B223C"/>
    <w:rsid w:val="009B2714"/>
    <w:rsid w:val="009B2FB7"/>
    <w:rsid w:val="009B4F8B"/>
    <w:rsid w:val="009B4FBD"/>
    <w:rsid w:val="009B521D"/>
    <w:rsid w:val="009B5FD7"/>
    <w:rsid w:val="009B6993"/>
    <w:rsid w:val="009B6EA3"/>
    <w:rsid w:val="009C7336"/>
    <w:rsid w:val="009D313F"/>
    <w:rsid w:val="009D5D39"/>
    <w:rsid w:val="009E1D0B"/>
    <w:rsid w:val="009E2915"/>
    <w:rsid w:val="009E2CE2"/>
    <w:rsid w:val="009E3C88"/>
    <w:rsid w:val="009E707E"/>
    <w:rsid w:val="009F07DC"/>
    <w:rsid w:val="009F17BB"/>
    <w:rsid w:val="009F2D6B"/>
    <w:rsid w:val="009F3909"/>
    <w:rsid w:val="009F69CF"/>
    <w:rsid w:val="009F73AC"/>
    <w:rsid w:val="00A00A7D"/>
    <w:rsid w:val="00A00B1B"/>
    <w:rsid w:val="00A05CA6"/>
    <w:rsid w:val="00A10E9C"/>
    <w:rsid w:val="00A121EE"/>
    <w:rsid w:val="00A13DAD"/>
    <w:rsid w:val="00A2215C"/>
    <w:rsid w:val="00A22A85"/>
    <w:rsid w:val="00A24AA6"/>
    <w:rsid w:val="00A26D07"/>
    <w:rsid w:val="00A358E6"/>
    <w:rsid w:val="00A369A4"/>
    <w:rsid w:val="00A43C70"/>
    <w:rsid w:val="00A46304"/>
    <w:rsid w:val="00A52EC8"/>
    <w:rsid w:val="00A53F1C"/>
    <w:rsid w:val="00A5479B"/>
    <w:rsid w:val="00A576A1"/>
    <w:rsid w:val="00A637A7"/>
    <w:rsid w:val="00A66F67"/>
    <w:rsid w:val="00A677AD"/>
    <w:rsid w:val="00A678CB"/>
    <w:rsid w:val="00A70C7B"/>
    <w:rsid w:val="00A76114"/>
    <w:rsid w:val="00A77840"/>
    <w:rsid w:val="00A84966"/>
    <w:rsid w:val="00A948DC"/>
    <w:rsid w:val="00A95A01"/>
    <w:rsid w:val="00AB0441"/>
    <w:rsid w:val="00AB3429"/>
    <w:rsid w:val="00AB34F5"/>
    <w:rsid w:val="00AB4C56"/>
    <w:rsid w:val="00AC0BF1"/>
    <w:rsid w:val="00AC6868"/>
    <w:rsid w:val="00AD14F4"/>
    <w:rsid w:val="00AD2E05"/>
    <w:rsid w:val="00AD30A4"/>
    <w:rsid w:val="00AD528F"/>
    <w:rsid w:val="00AD7038"/>
    <w:rsid w:val="00AE02BB"/>
    <w:rsid w:val="00AE065F"/>
    <w:rsid w:val="00AE73BD"/>
    <w:rsid w:val="00AE7C3C"/>
    <w:rsid w:val="00AE7FB6"/>
    <w:rsid w:val="00AF5167"/>
    <w:rsid w:val="00B0473B"/>
    <w:rsid w:val="00B06A58"/>
    <w:rsid w:val="00B1296D"/>
    <w:rsid w:val="00B132D5"/>
    <w:rsid w:val="00B135A3"/>
    <w:rsid w:val="00B16623"/>
    <w:rsid w:val="00B1778D"/>
    <w:rsid w:val="00B17B82"/>
    <w:rsid w:val="00B20230"/>
    <w:rsid w:val="00B2057B"/>
    <w:rsid w:val="00B33B06"/>
    <w:rsid w:val="00B3543A"/>
    <w:rsid w:val="00B35EC3"/>
    <w:rsid w:val="00B45155"/>
    <w:rsid w:val="00B45B7C"/>
    <w:rsid w:val="00B45CAA"/>
    <w:rsid w:val="00B55306"/>
    <w:rsid w:val="00B60C06"/>
    <w:rsid w:val="00B65F21"/>
    <w:rsid w:val="00B711BE"/>
    <w:rsid w:val="00B7385D"/>
    <w:rsid w:val="00B826E6"/>
    <w:rsid w:val="00B8282C"/>
    <w:rsid w:val="00B836C3"/>
    <w:rsid w:val="00B83A40"/>
    <w:rsid w:val="00B83E63"/>
    <w:rsid w:val="00B85D42"/>
    <w:rsid w:val="00B87784"/>
    <w:rsid w:val="00B93B21"/>
    <w:rsid w:val="00BA7334"/>
    <w:rsid w:val="00BB0179"/>
    <w:rsid w:val="00BC1AAB"/>
    <w:rsid w:val="00BC232F"/>
    <w:rsid w:val="00BC2B32"/>
    <w:rsid w:val="00BC524A"/>
    <w:rsid w:val="00BC5D49"/>
    <w:rsid w:val="00BD080B"/>
    <w:rsid w:val="00BD2F09"/>
    <w:rsid w:val="00BE1207"/>
    <w:rsid w:val="00BE2129"/>
    <w:rsid w:val="00BE5404"/>
    <w:rsid w:val="00BE68A5"/>
    <w:rsid w:val="00BE7450"/>
    <w:rsid w:val="00BF19BE"/>
    <w:rsid w:val="00C015A8"/>
    <w:rsid w:val="00C11B2D"/>
    <w:rsid w:val="00C14289"/>
    <w:rsid w:val="00C1467C"/>
    <w:rsid w:val="00C153B7"/>
    <w:rsid w:val="00C15992"/>
    <w:rsid w:val="00C21027"/>
    <w:rsid w:val="00C23341"/>
    <w:rsid w:val="00C24BEC"/>
    <w:rsid w:val="00C272BF"/>
    <w:rsid w:val="00C27874"/>
    <w:rsid w:val="00C27D56"/>
    <w:rsid w:val="00C31EB5"/>
    <w:rsid w:val="00C320C6"/>
    <w:rsid w:val="00C32939"/>
    <w:rsid w:val="00C33ED0"/>
    <w:rsid w:val="00C3577C"/>
    <w:rsid w:val="00C359C7"/>
    <w:rsid w:val="00C36356"/>
    <w:rsid w:val="00C37F39"/>
    <w:rsid w:val="00C41B58"/>
    <w:rsid w:val="00C441B1"/>
    <w:rsid w:val="00C46A89"/>
    <w:rsid w:val="00C50242"/>
    <w:rsid w:val="00C51161"/>
    <w:rsid w:val="00C52A3D"/>
    <w:rsid w:val="00C52A82"/>
    <w:rsid w:val="00C544BA"/>
    <w:rsid w:val="00C55132"/>
    <w:rsid w:val="00C5585D"/>
    <w:rsid w:val="00C567D1"/>
    <w:rsid w:val="00C61BBF"/>
    <w:rsid w:val="00C63747"/>
    <w:rsid w:val="00C63DAA"/>
    <w:rsid w:val="00C63FEF"/>
    <w:rsid w:val="00C640B5"/>
    <w:rsid w:val="00C6483E"/>
    <w:rsid w:val="00C662F6"/>
    <w:rsid w:val="00C66E5B"/>
    <w:rsid w:val="00C67145"/>
    <w:rsid w:val="00C726E5"/>
    <w:rsid w:val="00C83E91"/>
    <w:rsid w:val="00C842F4"/>
    <w:rsid w:val="00C93D88"/>
    <w:rsid w:val="00C94A5E"/>
    <w:rsid w:val="00C97E15"/>
    <w:rsid w:val="00CA386B"/>
    <w:rsid w:val="00CA46F7"/>
    <w:rsid w:val="00CA5822"/>
    <w:rsid w:val="00CA628C"/>
    <w:rsid w:val="00CA768E"/>
    <w:rsid w:val="00CB0581"/>
    <w:rsid w:val="00CB0BDC"/>
    <w:rsid w:val="00CB0C6C"/>
    <w:rsid w:val="00CB11AC"/>
    <w:rsid w:val="00CB1A1F"/>
    <w:rsid w:val="00CB60B7"/>
    <w:rsid w:val="00CB7A78"/>
    <w:rsid w:val="00CC419F"/>
    <w:rsid w:val="00CC7A3A"/>
    <w:rsid w:val="00CD09A4"/>
    <w:rsid w:val="00CD3A92"/>
    <w:rsid w:val="00CD50BA"/>
    <w:rsid w:val="00CD7911"/>
    <w:rsid w:val="00CE3186"/>
    <w:rsid w:val="00CE6018"/>
    <w:rsid w:val="00CE6C8D"/>
    <w:rsid w:val="00CF193C"/>
    <w:rsid w:val="00D0080A"/>
    <w:rsid w:val="00D01E27"/>
    <w:rsid w:val="00D0511B"/>
    <w:rsid w:val="00D079D3"/>
    <w:rsid w:val="00D12C10"/>
    <w:rsid w:val="00D16410"/>
    <w:rsid w:val="00D2225F"/>
    <w:rsid w:val="00D226EF"/>
    <w:rsid w:val="00D30746"/>
    <w:rsid w:val="00D30907"/>
    <w:rsid w:val="00D31804"/>
    <w:rsid w:val="00D333ED"/>
    <w:rsid w:val="00D35E3D"/>
    <w:rsid w:val="00D41EB7"/>
    <w:rsid w:val="00D44368"/>
    <w:rsid w:val="00D50063"/>
    <w:rsid w:val="00D51619"/>
    <w:rsid w:val="00D577FB"/>
    <w:rsid w:val="00D62074"/>
    <w:rsid w:val="00D62B6D"/>
    <w:rsid w:val="00D658A6"/>
    <w:rsid w:val="00D665A7"/>
    <w:rsid w:val="00D72FA1"/>
    <w:rsid w:val="00D749E1"/>
    <w:rsid w:val="00D87D85"/>
    <w:rsid w:val="00D9186A"/>
    <w:rsid w:val="00D95393"/>
    <w:rsid w:val="00D95BEF"/>
    <w:rsid w:val="00DA11A2"/>
    <w:rsid w:val="00DA2A29"/>
    <w:rsid w:val="00DA3542"/>
    <w:rsid w:val="00DA4F2B"/>
    <w:rsid w:val="00DA7E37"/>
    <w:rsid w:val="00DB2575"/>
    <w:rsid w:val="00DB36FB"/>
    <w:rsid w:val="00DC00E2"/>
    <w:rsid w:val="00DC1F10"/>
    <w:rsid w:val="00DC38CF"/>
    <w:rsid w:val="00DC5B6B"/>
    <w:rsid w:val="00DD1ED6"/>
    <w:rsid w:val="00DD24C3"/>
    <w:rsid w:val="00DD5935"/>
    <w:rsid w:val="00DE2D75"/>
    <w:rsid w:val="00DE458C"/>
    <w:rsid w:val="00DE5DCC"/>
    <w:rsid w:val="00DE7374"/>
    <w:rsid w:val="00DF3ABA"/>
    <w:rsid w:val="00DF5053"/>
    <w:rsid w:val="00DF5915"/>
    <w:rsid w:val="00DF638F"/>
    <w:rsid w:val="00DF7E40"/>
    <w:rsid w:val="00E01EB8"/>
    <w:rsid w:val="00E06A50"/>
    <w:rsid w:val="00E12047"/>
    <w:rsid w:val="00E120A2"/>
    <w:rsid w:val="00E124EB"/>
    <w:rsid w:val="00E15FB1"/>
    <w:rsid w:val="00E208FC"/>
    <w:rsid w:val="00E25949"/>
    <w:rsid w:val="00E3094E"/>
    <w:rsid w:val="00E36BA5"/>
    <w:rsid w:val="00E44709"/>
    <w:rsid w:val="00E45213"/>
    <w:rsid w:val="00E476D5"/>
    <w:rsid w:val="00E509F3"/>
    <w:rsid w:val="00E53809"/>
    <w:rsid w:val="00E54F2D"/>
    <w:rsid w:val="00E55FC8"/>
    <w:rsid w:val="00E5683B"/>
    <w:rsid w:val="00E569BB"/>
    <w:rsid w:val="00E61354"/>
    <w:rsid w:val="00E61DDC"/>
    <w:rsid w:val="00E633C0"/>
    <w:rsid w:val="00E670A3"/>
    <w:rsid w:val="00E7006C"/>
    <w:rsid w:val="00E71108"/>
    <w:rsid w:val="00E75AFF"/>
    <w:rsid w:val="00E77730"/>
    <w:rsid w:val="00E800E3"/>
    <w:rsid w:val="00E85B55"/>
    <w:rsid w:val="00E92D9D"/>
    <w:rsid w:val="00E94EF6"/>
    <w:rsid w:val="00E979EB"/>
    <w:rsid w:val="00EA1C84"/>
    <w:rsid w:val="00EA27F2"/>
    <w:rsid w:val="00EA630C"/>
    <w:rsid w:val="00EB12AE"/>
    <w:rsid w:val="00EB2082"/>
    <w:rsid w:val="00EB2A9A"/>
    <w:rsid w:val="00EB32D6"/>
    <w:rsid w:val="00EB4955"/>
    <w:rsid w:val="00EB7D76"/>
    <w:rsid w:val="00EC364B"/>
    <w:rsid w:val="00EC54C4"/>
    <w:rsid w:val="00EC693B"/>
    <w:rsid w:val="00ED45DF"/>
    <w:rsid w:val="00ED651F"/>
    <w:rsid w:val="00EE292F"/>
    <w:rsid w:val="00EE5E93"/>
    <w:rsid w:val="00EF3625"/>
    <w:rsid w:val="00EF448E"/>
    <w:rsid w:val="00EF718A"/>
    <w:rsid w:val="00EF77E6"/>
    <w:rsid w:val="00EF7C8B"/>
    <w:rsid w:val="00F006AD"/>
    <w:rsid w:val="00F02DE5"/>
    <w:rsid w:val="00F043AA"/>
    <w:rsid w:val="00F046CD"/>
    <w:rsid w:val="00F04B91"/>
    <w:rsid w:val="00F05859"/>
    <w:rsid w:val="00F06B7F"/>
    <w:rsid w:val="00F114AB"/>
    <w:rsid w:val="00F11506"/>
    <w:rsid w:val="00F11972"/>
    <w:rsid w:val="00F126D6"/>
    <w:rsid w:val="00F16D37"/>
    <w:rsid w:val="00F20CA4"/>
    <w:rsid w:val="00F25AE3"/>
    <w:rsid w:val="00F36A65"/>
    <w:rsid w:val="00F40BBE"/>
    <w:rsid w:val="00F42AB9"/>
    <w:rsid w:val="00F47CCD"/>
    <w:rsid w:val="00F505C9"/>
    <w:rsid w:val="00F542E5"/>
    <w:rsid w:val="00F6047C"/>
    <w:rsid w:val="00F60A70"/>
    <w:rsid w:val="00F60BDC"/>
    <w:rsid w:val="00F60D1D"/>
    <w:rsid w:val="00F63060"/>
    <w:rsid w:val="00F6561A"/>
    <w:rsid w:val="00F671D6"/>
    <w:rsid w:val="00F67D4E"/>
    <w:rsid w:val="00F708FC"/>
    <w:rsid w:val="00F71214"/>
    <w:rsid w:val="00F72719"/>
    <w:rsid w:val="00F72759"/>
    <w:rsid w:val="00F772A8"/>
    <w:rsid w:val="00F80BAE"/>
    <w:rsid w:val="00F8660F"/>
    <w:rsid w:val="00F871B8"/>
    <w:rsid w:val="00F917AA"/>
    <w:rsid w:val="00F93A65"/>
    <w:rsid w:val="00F97C23"/>
    <w:rsid w:val="00FA0DED"/>
    <w:rsid w:val="00FA3D6B"/>
    <w:rsid w:val="00FA5EF4"/>
    <w:rsid w:val="00FA60BA"/>
    <w:rsid w:val="00FA79C0"/>
    <w:rsid w:val="00FB3710"/>
    <w:rsid w:val="00FB4998"/>
    <w:rsid w:val="00FB55E2"/>
    <w:rsid w:val="00FB764B"/>
    <w:rsid w:val="00FC107B"/>
    <w:rsid w:val="00FC1164"/>
    <w:rsid w:val="00FC1ADC"/>
    <w:rsid w:val="00FC2E3A"/>
    <w:rsid w:val="00FC599B"/>
    <w:rsid w:val="00FC72E1"/>
    <w:rsid w:val="00FD43D9"/>
    <w:rsid w:val="00FD46E0"/>
    <w:rsid w:val="00FD4AEB"/>
    <w:rsid w:val="00FD5881"/>
    <w:rsid w:val="00FD672F"/>
    <w:rsid w:val="00FD7633"/>
    <w:rsid w:val="00FE4C9C"/>
    <w:rsid w:val="00FE5E70"/>
    <w:rsid w:val="00FE645B"/>
    <w:rsid w:val="00FE67F5"/>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3C470B"/>
  <w15:docId w15:val="{A2E03692-6943-4CF5-8D7A-700CD6E6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link w:val="HeaderChar"/>
    <w:uiPriority w:val="99"/>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link w:val="FooterChar"/>
    <w:uiPriority w:val="99"/>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paragraph" w:styleId="ListParagraph">
    <w:name w:val="List Paragraph"/>
    <w:basedOn w:val="Normal"/>
    <w:uiPriority w:val="34"/>
    <w:qFormat/>
    <w:rsid w:val="00204297"/>
    <w:pPr>
      <w:ind w:left="720"/>
      <w:contextualSpacing/>
    </w:pPr>
  </w:style>
  <w:style w:type="paragraph" w:styleId="PlainText">
    <w:name w:val="Plain Text"/>
    <w:basedOn w:val="Normal"/>
    <w:link w:val="PlainTextChar"/>
    <w:uiPriority w:val="99"/>
    <w:unhideWhenUsed/>
    <w:rsid w:val="00CC419F"/>
    <w:pPr>
      <w:jc w:val="left"/>
    </w:pPr>
    <w:rPr>
      <w:rFonts w:ascii="Calibri" w:hAnsi="Calibri"/>
      <w:szCs w:val="21"/>
      <w:lang w:val="en-GB" w:eastAsia="en-GB"/>
    </w:rPr>
  </w:style>
  <w:style w:type="character" w:customStyle="1" w:styleId="PlainTextChar">
    <w:name w:val="Plain Text Char"/>
    <w:basedOn w:val="DefaultParagraphFont"/>
    <w:link w:val="PlainText"/>
    <w:uiPriority w:val="99"/>
    <w:rsid w:val="00CC419F"/>
    <w:rPr>
      <w:rFonts w:ascii="Calibri" w:hAnsi="Calibri"/>
      <w:sz w:val="22"/>
      <w:szCs w:val="21"/>
      <w:lang w:val="en-GB" w:eastAsia="en-GB"/>
    </w:rPr>
  </w:style>
  <w:style w:type="character" w:customStyle="1" w:styleId="HeaderChar">
    <w:name w:val="Header Char"/>
    <w:basedOn w:val="DefaultParagraphFont"/>
    <w:link w:val="Header"/>
    <w:uiPriority w:val="99"/>
    <w:rsid w:val="00FC1164"/>
    <w:rPr>
      <w:sz w:val="18"/>
    </w:rPr>
  </w:style>
  <w:style w:type="character" w:customStyle="1" w:styleId="FooterChar">
    <w:name w:val="Footer Char"/>
    <w:basedOn w:val="DefaultParagraphFont"/>
    <w:link w:val="Footer"/>
    <w:uiPriority w:val="99"/>
    <w:rsid w:val="00FC1164"/>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81682142">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218588336">
      <w:bodyDiv w:val="1"/>
      <w:marLeft w:val="0"/>
      <w:marRight w:val="0"/>
      <w:marTop w:val="0"/>
      <w:marBottom w:val="0"/>
      <w:divBdr>
        <w:top w:val="none" w:sz="0" w:space="0" w:color="auto"/>
        <w:left w:val="none" w:sz="0" w:space="0" w:color="auto"/>
        <w:bottom w:val="none" w:sz="0" w:space="0" w:color="auto"/>
        <w:right w:val="none" w:sz="0" w:space="0" w:color="auto"/>
      </w:divBdr>
    </w:div>
    <w:div w:id="303506099">
      <w:bodyDiv w:val="1"/>
      <w:marLeft w:val="0"/>
      <w:marRight w:val="0"/>
      <w:marTop w:val="0"/>
      <w:marBottom w:val="0"/>
      <w:divBdr>
        <w:top w:val="none" w:sz="0" w:space="0" w:color="auto"/>
        <w:left w:val="none" w:sz="0" w:space="0" w:color="auto"/>
        <w:bottom w:val="none" w:sz="0" w:space="0" w:color="auto"/>
        <w:right w:val="none" w:sz="0" w:space="0" w:color="auto"/>
      </w:divBdr>
    </w:div>
    <w:div w:id="440801714">
      <w:bodyDiv w:val="1"/>
      <w:marLeft w:val="0"/>
      <w:marRight w:val="0"/>
      <w:marTop w:val="0"/>
      <w:marBottom w:val="0"/>
      <w:divBdr>
        <w:top w:val="none" w:sz="0" w:space="0" w:color="auto"/>
        <w:left w:val="none" w:sz="0" w:space="0" w:color="auto"/>
        <w:bottom w:val="none" w:sz="0" w:space="0" w:color="auto"/>
        <w:right w:val="none" w:sz="0" w:space="0" w:color="auto"/>
      </w:divBdr>
    </w:div>
    <w:div w:id="466316348">
      <w:bodyDiv w:val="1"/>
      <w:marLeft w:val="0"/>
      <w:marRight w:val="0"/>
      <w:marTop w:val="0"/>
      <w:marBottom w:val="0"/>
      <w:divBdr>
        <w:top w:val="none" w:sz="0" w:space="0" w:color="auto"/>
        <w:left w:val="none" w:sz="0" w:space="0" w:color="auto"/>
        <w:bottom w:val="none" w:sz="0" w:space="0" w:color="auto"/>
        <w:right w:val="none" w:sz="0" w:space="0" w:color="auto"/>
      </w:divBdr>
    </w:div>
    <w:div w:id="469636447">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226526183">
      <w:bodyDiv w:val="1"/>
      <w:marLeft w:val="0"/>
      <w:marRight w:val="0"/>
      <w:marTop w:val="0"/>
      <w:marBottom w:val="0"/>
      <w:divBdr>
        <w:top w:val="none" w:sz="0" w:space="0" w:color="auto"/>
        <w:left w:val="none" w:sz="0" w:space="0" w:color="auto"/>
        <w:bottom w:val="none" w:sz="0" w:space="0" w:color="auto"/>
        <w:right w:val="none" w:sz="0" w:space="0" w:color="auto"/>
      </w:divBdr>
    </w:div>
    <w:div w:id="1244221649">
      <w:bodyDiv w:val="1"/>
      <w:marLeft w:val="0"/>
      <w:marRight w:val="0"/>
      <w:marTop w:val="0"/>
      <w:marBottom w:val="0"/>
      <w:divBdr>
        <w:top w:val="none" w:sz="0" w:space="0" w:color="auto"/>
        <w:left w:val="none" w:sz="0" w:space="0" w:color="auto"/>
        <w:bottom w:val="none" w:sz="0" w:space="0" w:color="auto"/>
        <w:right w:val="none" w:sz="0" w:space="0" w:color="auto"/>
      </w:divBdr>
    </w:div>
    <w:div w:id="1266615440">
      <w:bodyDiv w:val="1"/>
      <w:marLeft w:val="0"/>
      <w:marRight w:val="0"/>
      <w:marTop w:val="0"/>
      <w:marBottom w:val="0"/>
      <w:divBdr>
        <w:top w:val="none" w:sz="0" w:space="0" w:color="auto"/>
        <w:left w:val="none" w:sz="0" w:space="0" w:color="auto"/>
        <w:bottom w:val="none" w:sz="0" w:space="0" w:color="auto"/>
        <w:right w:val="none" w:sz="0" w:space="0" w:color="auto"/>
      </w:divBdr>
    </w:div>
    <w:div w:id="1300381742">
      <w:bodyDiv w:val="1"/>
      <w:marLeft w:val="0"/>
      <w:marRight w:val="0"/>
      <w:marTop w:val="0"/>
      <w:marBottom w:val="0"/>
      <w:divBdr>
        <w:top w:val="none" w:sz="0" w:space="0" w:color="auto"/>
        <w:left w:val="none" w:sz="0" w:space="0" w:color="auto"/>
        <w:bottom w:val="none" w:sz="0" w:space="0" w:color="auto"/>
        <w:right w:val="none" w:sz="0" w:space="0" w:color="auto"/>
      </w:divBdr>
    </w:div>
    <w:div w:id="1339190317">
      <w:bodyDiv w:val="1"/>
      <w:marLeft w:val="0"/>
      <w:marRight w:val="0"/>
      <w:marTop w:val="0"/>
      <w:marBottom w:val="0"/>
      <w:divBdr>
        <w:top w:val="none" w:sz="0" w:space="0" w:color="auto"/>
        <w:left w:val="none" w:sz="0" w:space="0" w:color="auto"/>
        <w:bottom w:val="none" w:sz="0" w:space="0" w:color="auto"/>
        <w:right w:val="none" w:sz="0" w:space="0" w:color="auto"/>
      </w:divBdr>
    </w:div>
    <w:div w:id="1352149371">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ERIS_ProjectManager xmlns="e841b482-2cfa-447c-bd87-97348dd45629">
      <UserInfo>
        <DisplayName/>
        <AccountId xsi:nil="true"/>
        <AccountType/>
      </UserInfo>
    </ERIS_ProjectManager>
    <ERIS_ProjectCategory xmlns="e841b482-2cfa-447c-bd87-97348dd45629">Operational (Corporate)</ERIS_ProjectCategory>
    <ERIS_OtherReference xmlns="e841b482-2cfa-447c-bd87-97348dd45629" xsi:nil="true"/>
    <ERIS_Relation xmlns="e841b482-2cfa-447c-bd87-97348dd45629">, </ERIS_Relation>
    <eec7bcfd40c7478cad394885bb511292 xmlns="e841b482-2cfa-447c-bd87-97348dd456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eec7bcfd40c7478cad394885bb511292>
    <nf6ec4467e9648c7aeeaf55817b6cc51 xmlns="e841b482-2cfa-447c-bd87-97348dd45629">
      <Terms xmlns="http://schemas.microsoft.com/office/infopath/2007/PartnerControls">
        <TermInfo xmlns="http://schemas.microsoft.com/office/infopath/2007/PartnerControls">
          <TermName xmlns="http://schemas.microsoft.com/office/infopath/2007/PartnerControls">Technical Document</TermName>
          <TermId xmlns="http://schemas.microsoft.com/office/infopath/2007/PartnerControls">1a5bea9a-9455-4b42-9695-f3d22fbcc445</TermId>
        </TermInfo>
      </Terms>
    </nf6ec4467e9648c7aeeaf55817b6cc51>
    <TaxCatchAll xmlns="e841b482-2cfa-447c-bd87-97348dd45629">
      <Value>135</Value>
      <Value>63</Value>
      <Value>147</Value>
      <Value>61</Value>
      <Value>93</Value>
      <Value>7</Value>
      <Value>2</Value>
      <Value>1</Value>
    </TaxCatchAll>
    <ERIS_RecordNumber xmlns="e841b482-2cfa-447c-bd87-97348dd45629">EIOPA(2020)0068157</ERIS_RecordNumber>
    <ERIS_AdditionalMarkings xmlns="e841b482-2cfa-447c-bd87-97348dd45629" xsi:nil="true"/>
    <End_x0020_of_x0020_System_x0020_Life xmlns="e841b482-2cfa-447c-bd87-97348dd45629" xsi:nil="true"/>
    <ERIS_ApprovalStatus xmlns="e841b482-2cfa-447c-bd87-97348dd45629">DRAFT</ERIS_ApprovalStatus>
    <ERIS_AssignedTo xmlns="e841b482-2cfa-447c-bd87-97348dd45629">
      <UserInfo>
        <DisplayName/>
        <AccountId xsi:nil="true"/>
        <AccountType/>
      </UserInfo>
    </ERIS_AssignedTo>
    <ERIS_ProjectID xmlns="e841b482-2cfa-447c-bd87-97348dd45629" xsi:nil="true"/>
    <FormData xmlns="http://schemas.microsoft.com/sharepoint/v3">&lt;?xml version="1.0" encoding="utf-8"?&gt;&lt;FormVariables&gt;&lt;Version /&gt;&lt;/FormVariables&gt;</FormData>
    <ERIS_ConfidentialityLevel xmlns="e841b482-2cfa-447c-bd87-97348dd45629">EIOPA Regular Use</ERIS_ConfidentialityLevel>
    <ERIS_SupersededObsolete xmlns="e841b482-2cfa-447c-bd87-97348dd45629">false</ERIS_SupersededObsolete>
    <g3859b8f80744118b3afb58941837544 xmlns="e841b482-2cfa-447c-bd87-97348dd45629">
      <Terms xmlns="http://schemas.microsoft.com/office/infopath/2007/PartnerControls">
        <TermInfo xmlns="http://schemas.microsoft.com/office/infopath/2007/PartnerControls">
          <TermName xmlns="http://schemas.microsoft.com/office/infopath/2007/PartnerControls">Project Management</TermName>
          <TermId xmlns="http://schemas.microsoft.com/office/infopath/2007/PartnerControls">cea3a7db-f348-4c35-b78b-82f6e4e7dbce</TermId>
        </TermInfo>
        <TermInfo xmlns="http://schemas.microsoft.com/office/infopath/2007/PartnerControls">
          <TermName xmlns="http://schemas.microsoft.com/office/infopath/2007/PartnerControls">Solvency II</TermName>
          <TermId xmlns="http://schemas.microsoft.com/office/infopath/2007/PartnerControls">9d7de132-f9bd-4b68-83a5-47bf5bf01789</TermId>
        </TermInfo>
        <TermInfo xmlns="http://schemas.microsoft.com/office/infopath/2007/PartnerControls">
          <TermName xmlns="http://schemas.microsoft.com/office/infopath/2007/PartnerControls">Insurance</TermName>
          <TermId xmlns="http://schemas.microsoft.com/office/infopath/2007/PartnerControls">7d742bda-a71f-46ed-a0a2-2b27d7f827fc</TermId>
        </TermInfo>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Internal Models</TermName>
          <TermId xmlns="http://schemas.microsoft.com/office/infopath/2007/PartnerControls">3d5fcbdf-bfdb-4014-a35e-dbf465a6c51e</TermId>
        </TermInfo>
      </Terms>
    </g3859b8f80744118b3afb58941837544>
    <a95abb4829b0440c8b23339bd11ce4d8 xmlns="e841b482-2cfa-447c-bd87-97348dd45629">
      <Terms xmlns="http://schemas.microsoft.com/office/infopath/2007/PartnerControls">
        <TermInfo xmlns="http://schemas.microsoft.com/office/infopath/2007/PartnerControls">
          <TermName xmlns="http://schemas.microsoft.com/office/infopath/2007/PartnerControls">Oversight Department</TermName>
          <TermId xmlns="http://schemas.microsoft.com/office/infopath/2007/PartnerControls">8b947239-66c9-4ae5-9d54-b069a4b4190b</TermId>
        </TermInfo>
      </Terms>
    </a95abb4829b0440c8b23339bd11ce4d8>
    <ERIS_ProjectEndDate xmlns="e841b482-2cfa-447c-bd87-97348dd456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RIS Document" ma:contentTypeID="0x01010084A0DBB21E3DC54BA789567D0CCFAAD9005DB351B5634D6748AB9FB973AAD589AA" ma:contentTypeVersion="53" ma:contentTypeDescription="" ma:contentTypeScope="" ma:versionID="cdc8a51a9e24ec11a42a299710a7a0bd">
  <xsd:schema xmlns:xsd="http://www.w3.org/2001/XMLSchema" xmlns:xs="http://www.w3.org/2001/XMLSchema" xmlns:p="http://schemas.microsoft.com/office/2006/metadata/properties" xmlns:ns1="http://schemas.microsoft.com/sharepoint/v3" xmlns:ns2="e841b482-2cfa-447c-bd87-97348dd45629" targetNamespace="http://schemas.microsoft.com/office/2006/metadata/properties" ma:root="true" ma:fieldsID="2923615d9da355e1f414bf96c813cf88" ns1:_="" ns2:_="">
    <xsd:import namespace="http://schemas.microsoft.com/sharepoint/v3"/>
    <xsd:import namespace="e841b482-2cfa-447c-bd87-97348dd45629"/>
    <xsd:element name="properties">
      <xsd:complexType>
        <xsd:sequence>
          <xsd:element name="documentManagement">
            <xsd:complexType>
              <xsd:all>
                <xsd:element ref="ns2:ERIS_ConfidentialityLevel"/>
                <xsd:element ref="ns2:ERIS_AdditionalMarkings" minOccurs="0"/>
                <xsd:element ref="ns2:ERIS_ApprovalStatus" minOccurs="0"/>
                <xsd:element ref="ns2:ERIS_ProjectID" minOccurs="0"/>
                <xsd:element ref="ns2:ERIS_ProjectManager" minOccurs="0"/>
                <xsd:element ref="ns2:ERIS_ProjectCategory" minOccurs="0"/>
                <xsd:element ref="ns2:ERIS_ProjectEndDate" minOccurs="0"/>
                <xsd:element ref="ns2:End_x0020_of_x0020_System_x0020_Life" minOccurs="0"/>
                <xsd:element ref="ns2:ERIS_OtherReference" minOccurs="0"/>
                <xsd:element ref="ns2:ERIS_Relation" minOccurs="0"/>
                <xsd:element ref="ns2:ERIS_AssignedTo" minOccurs="0"/>
                <xsd:element ref="ns2:ERIS_RecordNumber" minOccurs="0"/>
                <xsd:element ref="ns2:TaxCatchAll" minOccurs="0"/>
                <xsd:element ref="ns2:TaxCatchAllLabel" minOccurs="0"/>
                <xsd:element ref="ns2:g3859b8f80744118b3afb58941837544" minOccurs="0"/>
                <xsd:element ref="ns2:eec7bcfd40c7478cad394885bb511292" minOccurs="0"/>
                <xsd:element ref="ns2:a95abb4829b0440c8b23339bd11ce4d8" minOccurs="0"/>
                <xsd:element ref="ns2:nf6ec4467e9648c7aeeaf55817b6cc51" minOccurs="0"/>
                <xsd:element ref="ns1:FormData" minOccurs="0"/>
                <xsd:element ref="ns2:ERIS_SupersededObsole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0"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41b482-2cfa-447c-bd87-97348dd45629" elementFormDefault="qualified">
    <xsd:import namespace="http://schemas.microsoft.com/office/2006/documentManagement/types"/>
    <xsd:import namespace="http://schemas.microsoft.com/office/infopath/2007/PartnerControls"/>
    <xsd:element name="ERIS_ConfidentialityLevel" ma:index="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5" nillable="true" ma:displayName="Additional Markings" ma:format="Dropdown" ma:internalName="ERIS_AdditionalMarkings">
      <xsd:simpleType>
        <xsd:union memberTypes="dms:Text">
          <xsd:simpleType>
            <xsd:restriction base="dms:Choice">
              <xsd:enumeration value="Limited"/>
              <xsd:enumeration value="Internal Use Only"/>
              <xsd:enumeration value="Personal Data"/>
              <xsd:enumeration value="Staff Matter"/>
              <xsd:enumeration value="Management Only"/>
            </xsd:restriction>
          </xsd:simpleType>
        </xsd:union>
      </xsd:simpleType>
    </xsd:element>
    <xsd:element name="ERIS_ApprovalStatus" ma:index="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ERIS_ProjectID" ma:index="8" nillable="true" ma:displayName="Project ID" ma:internalName="ERIS_ProjectID">
      <xsd:simpleType>
        <xsd:restriction base="dms:Text"/>
      </xsd:simpleType>
    </xsd:element>
    <xsd:element name="ERIS_ProjectManager" ma:index="9" nillable="true" ma:displayName="Project Manager" ma:SharePointGroup="0" ma:internalName="ERIS_Project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ProjectCategory" ma:index="10" nillable="true" ma:displayName="Project Category" ma:format="Dropdown" ma:internalName="ERIS_ProjectCategory" ma:readOnly="false">
      <xsd:simpleType>
        <xsd:restriction base="dms:Choice">
          <xsd:enumeration value="Operational (Corporate)"/>
          <xsd:enumeration value="Operational (IT)"/>
          <xsd:enumeration value="Administrative"/>
        </xsd:restriction>
      </xsd:simpleType>
    </xsd:element>
    <xsd:element name="ERIS_ProjectEndDate" ma:index="11" nillable="true" ma:displayName="Project End Date" ma:format="DateOnly" ma:internalName="ERIS_ProjectEndDate">
      <xsd:simpleType>
        <xsd:restriction base="dms:DateTime"/>
      </xsd:simpleType>
    </xsd:element>
    <xsd:element name="End_x0020_of_x0020_System_x0020_Life" ma:index="12" nillable="true" ma:displayName="End of System Life" ma:format="DateOnly" ma:internalName="End_x0020_of_x0020_System_x0020_Life">
      <xsd:simpleType>
        <xsd:restriction base="dms:DateTime"/>
      </xsd:simpleType>
    </xsd:element>
    <xsd:element name="ERIS_OtherReference" ma:index="14" nillable="true" ma:displayName="Other Reference" ma:internalName="ERIS_OtherReference">
      <xsd:simpleType>
        <xsd:restriction base="dms:Text"/>
      </xsd:simpleType>
    </xsd:element>
    <xsd:element name="ERIS_Relation" ma:index="15" nillable="true" ma:displayName="Relation" ma:internalName="ERIS_Relation">
      <xsd:simpleType>
        <xsd:restriction base="dms:Text"/>
      </xsd:simpleType>
    </xsd:element>
    <xsd:element name="ERIS_AssignedTo" ma:index="16"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17" nillable="true" ma:displayName="Record Number" ma:internalName="ERIS_RecordNumber">
      <xsd:simpleType>
        <xsd:restriction base="dms:Text"/>
      </xsd:simpleType>
    </xsd:element>
    <xsd:element name="TaxCatchAll" ma:index="18" nillable="true" ma:displayName="Taxonomy Catch All Column" ma:hidden="true" ma:list="{aa789d20-0c03-4e86-a1a7-ad9e54b13670}" ma:internalName="TaxCatchAll" ma:showField="CatchAllData"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hidden="true" ma:list="{aa789d20-0c03-4e86-a1a7-ad9e54b13670}" ma:internalName="TaxCatchAllLabel" ma:readOnly="true" ma:showField="CatchAllDataLabel" ma:web="e841b482-2cfa-447c-bd87-97348dd45629">
      <xsd:complexType>
        <xsd:complexContent>
          <xsd:extension base="dms:MultiChoiceLookup">
            <xsd:sequence>
              <xsd:element name="Value" type="dms:Lookup" maxOccurs="unbounded" minOccurs="0" nillable="true"/>
            </xsd:sequence>
          </xsd:extension>
        </xsd:complexContent>
      </xsd:complexType>
    </xsd:element>
    <xsd:element name="g3859b8f80744118b3afb58941837544" ma:index="21" ma:taxonomy="true" ma:internalName="g3859b8f80744118b3afb58941837544" ma:taxonomyFieldName="ERIS_Keywords" ma:displayName="Keywords" ma:readOnly="false" ma:fieldId="{03859b8f-8074-4118-b3af-b58941837544}" ma:taxonomyMulti="true" ma:sspId="2b1776d1-ae3b-49f8-a97b-1474fa7fa346" ma:termSetId="041e8d27-50b6-44df-be8e-d4aba88ea6ef" ma:anchorId="00000000-0000-0000-0000-000000000000" ma:open="true" ma:isKeyword="false">
      <xsd:complexType>
        <xsd:sequence>
          <xsd:element ref="pc:Terms" minOccurs="0" maxOccurs="1"/>
        </xsd:sequence>
      </xsd:complexType>
    </xsd:element>
    <xsd:element name="eec7bcfd40c7478cad394885bb511292" ma:index="22" nillable="true" ma:taxonomy="true" ma:internalName="eec7bcfd40c7478cad394885bb511292" ma:taxonomyFieldName="ERIS_Language" ma:displayName="Language" ma:default="2;#English|2741a941-2920-4ba4-aa70-d8ed6ac1785d" ma:fieldId="{eec7bcfd-40c7-478c-ad39-4885bb511292}"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a95abb4829b0440c8b23339bd11ce4d8" ma:index="26" nillable="true" ma:taxonomy="true" ma:internalName="a95abb4829b0440c8b23339bd11ce4d8" ma:taxonomyFieldName="ERIS_Department" ma:displayName="EIOPA Department" ma:default="" ma:fieldId="{a95abb48-29b0-440c-8b23-339bd11ce4d8}"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nf6ec4467e9648c7aeeaf55817b6cc51" ma:index="28" ma:taxonomy="true" ma:internalName="nf6ec4467e9648c7aeeaf55817b6cc51" ma:taxonomyFieldName="ERIS_DocumentType" ma:displayName="Document Type" ma:readOnly="false" ma:fieldId="{7f6ec446-7e96-48c7-aeea-f55817b6cc51}"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ERIS_SupersededObsolete" ma:index="31" nillable="true" ma:displayName="Superseded/Obsolete?" ma:default="0" ma:internalName="ERIS_SupersededObsolete">
      <xsd:simpleType>
        <xsd:restriction base="dms:Boolean"/>
      </xsd:simple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Display>DocumentLibraryForm</Display>
  <Edit>DocumentLibraryForm</Edit>
  <New>DocumentLibraryForm</New>
  <MobileDisplayFormUrl/>
  <MobileEditFormUrl/>
  <MobileNewFormUrl/>
</FormTemplates>
</file>

<file path=customXml/item6.xml><?xml version="1.0" encoding="utf-8"?>
<?mso-contentType ?>
<FormTemplates xmlns="http://schemas.microsoft.com/sharepoint/v3/contenttype/forms">
  <Display>NFListDisplayForm</Display>
  <Edit>NFListEditForm</Edit>
  <New>NFListEditForm</New>
</FormTemplates>
</file>

<file path=customXml/item7.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Props1.xml><?xml version="1.0" encoding="utf-8"?>
<ds:datastoreItem xmlns:ds="http://schemas.openxmlformats.org/officeDocument/2006/customXml" ds:itemID="{1C94EA8B-0364-40AD-806C-85167BF14EB0}"/>
</file>

<file path=customXml/itemProps2.xml><?xml version="1.0" encoding="utf-8"?>
<ds:datastoreItem xmlns:ds="http://schemas.openxmlformats.org/officeDocument/2006/customXml" ds:itemID="{9144AB04-8FF8-4D31-951E-74E8959682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C35396-594D-4000-935C-FBC4526ED47B}"/>
</file>

<file path=customXml/itemProps4.xml><?xml version="1.0" encoding="utf-8"?>
<ds:datastoreItem xmlns:ds="http://schemas.openxmlformats.org/officeDocument/2006/customXml" ds:itemID="{7DAA5F66-621F-4941-89B2-EC5FA78E6C90}">
  <ds:schemaRefs>
    <ds:schemaRef ds:uri="http://schemas.openxmlformats.org/officeDocument/2006/bibliography"/>
  </ds:schemaRefs>
</ds:datastoreItem>
</file>

<file path=customXml/itemProps5.xml><?xml version="1.0" encoding="utf-8"?>
<ds:datastoreItem xmlns:ds="http://schemas.openxmlformats.org/officeDocument/2006/customXml" ds:itemID="{93FEE1B5-9B90-44F0-8997-8AEB866B3F10}"/>
</file>

<file path=customXml/itemProps6.xml><?xml version="1.0" encoding="utf-8"?>
<ds:datastoreItem xmlns:ds="http://schemas.openxmlformats.org/officeDocument/2006/customXml" ds:itemID="{AC5F22A1-1542-4BBC-84A6-5199AD537F0E}"/>
</file>

<file path=customXml/itemProps7.xml><?xml version="1.0" encoding="utf-8"?>
<ds:datastoreItem xmlns:ds="http://schemas.openxmlformats.org/officeDocument/2006/customXml" ds:itemID="{6DD37D04-7B2D-4435-B082-644703DE3EEB}"/>
</file>

<file path=docProps/app.xml><?xml version="1.0" encoding="utf-8"?>
<Properties xmlns="http://schemas.openxmlformats.org/officeDocument/2006/extended-properties" xmlns:vt="http://schemas.openxmlformats.org/officeDocument/2006/docPropsVTypes">
  <Template>Normal.dotm</Template>
  <TotalTime>32</TotalTime>
  <Pages>4</Pages>
  <Words>1754</Words>
  <Characters>10002</Characters>
  <Application>Microsoft Office Word</Application>
  <DocSecurity>0</DocSecurity>
  <Lines>83</Lines>
  <Paragraphs>23</Paragraphs>
  <ScaleCrop>false</ScaleCrop>
  <HeadingPairs>
    <vt:vector size="8" baseType="variant">
      <vt:variant>
        <vt:lpstr>Title</vt:lpstr>
      </vt:variant>
      <vt:variant>
        <vt:i4>1</vt:i4>
      </vt:variant>
      <vt:variant>
        <vt:lpstr>Titel</vt:lpstr>
      </vt:variant>
      <vt:variant>
        <vt:i4>1</vt:i4>
      </vt:variant>
      <vt:variant>
        <vt:lpstr>Titolo</vt:lpstr>
      </vt:variant>
      <vt:variant>
        <vt:i4>1</vt:i4>
      </vt:variant>
      <vt:variant>
        <vt:lpstr>Titre</vt:lpstr>
      </vt:variant>
      <vt:variant>
        <vt:i4>1</vt:i4>
      </vt:variant>
    </vt:vector>
  </HeadingPairs>
  <TitlesOfParts>
    <vt:vector size="4" baseType="lpstr">
      <vt:lpstr/>
      <vt:lpstr/>
      <vt:lpstr/>
      <vt:lpstr/>
    </vt:vector>
  </TitlesOfParts>
  <Company>Banque de France</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IV_Life and Health SLT risk_structured template_LOG file</dc:title>
  <dc:creator>JB Parmentier</dc:creator>
  <cp:lastModifiedBy>Ioannis Ieronymidis</cp:lastModifiedBy>
  <cp:revision>46</cp:revision>
  <cp:lastPrinted>2015-05-21T18:26:00Z</cp:lastPrinted>
  <dcterms:created xsi:type="dcterms:W3CDTF">2019-06-07T08:31:00Z</dcterms:created>
  <dcterms:modified xsi:type="dcterms:W3CDTF">2020-11-19T08:35:00Z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Ref">
    <vt:lpwstr>PRA 2491602</vt:lpwstr>
  </property>
  <property fmtid="{D5CDD505-2E9C-101B-9397-08002B2CF9AE}" pid="4" name="DocVer">
    <vt:lpwstr>PRA 2491602v1</vt:lpwstr>
  </property>
  <property fmtid="{D5CDD505-2E9C-101B-9397-08002B2CF9AE}" pid="5" name="ContentTypeId">
    <vt:lpwstr>0x01010084A0DBB21E3DC54BA789567D0CCFAAD9005DB351B5634D6748AB9FB973AAD589AA</vt:lpwstr>
  </property>
  <property fmtid="{D5CDD505-2E9C-101B-9397-08002B2CF9AE}" pid="6" name="ERIS_Keywords">
    <vt:lpwstr>1;#Project Management|cea3a7db-f348-4c35-b78b-82f6e4e7dbce;#93;#Solvency II|9d7de132-f9bd-4b68-83a5-47bf5bf01789;#63;#Insurance|7d742bda-a71f-46ed-a0a2-2b27d7f827fc;#135;#Quantitative Reporting Templates|d7753427-b1c9-4f72-b6a6-10b2a5ee67e3;#147;#Internal Models|3d5fcbdf-bfdb-4014-a35e-dbf465a6c51e</vt:lpwstr>
  </property>
  <property fmtid="{D5CDD505-2E9C-101B-9397-08002B2CF9AE}" pid="7" name="ERIS_Department">
    <vt:lpwstr>61;#Oversight Department|8b947239-66c9-4ae5-9d54-b069a4b4190b</vt:lpwstr>
  </property>
  <property fmtid="{D5CDD505-2E9C-101B-9397-08002B2CF9AE}" pid="8" name="ERIS_DocumentType">
    <vt:lpwstr>7;#Technical Document|1a5bea9a-9455-4b42-9695-f3d22fbcc445</vt:lpwstr>
  </property>
  <property fmtid="{D5CDD505-2E9C-101B-9397-08002B2CF9AE}" pid="9" name="ERIS_Language">
    <vt:lpwstr>2;#English|2741a941-2920-4ba4-aa70-d8ed6ac1785d</vt:lpwstr>
  </property>
  <property fmtid="{D5CDD505-2E9C-101B-9397-08002B2CF9AE}" pid="10" name="RecordPoint_WorkflowType">
    <vt:lpwstr>ActiveSubmitStub</vt:lpwstr>
  </property>
  <property fmtid="{D5CDD505-2E9C-101B-9397-08002B2CF9AE}" pid="11" name="RecordPoint_ActiveItemWebId">
    <vt:lpwstr>{72809e12-a0cc-4141-b5f6-88f6d2715bef}</vt:lpwstr>
  </property>
  <property fmtid="{D5CDD505-2E9C-101B-9397-08002B2CF9AE}" pid="12" name="RecordPoint_ActiveItemSiteId">
    <vt:lpwstr>{4ecfeabf-6c67-434c-b719-7199089a9ce2}</vt:lpwstr>
  </property>
  <property fmtid="{D5CDD505-2E9C-101B-9397-08002B2CF9AE}" pid="13" name="RecordPoint_ActiveItemListId">
    <vt:lpwstr>{c783d5f0-a5e0-4695-a744-3555e56303e2}</vt:lpwstr>
  </property>
  <property fmtid="{D5CDD505-2E9C-101B-9397-08002B2CF9AE}" pid="14" name="RecordPoint_ActiveItemUniqueId">
    <vt:lpwstr>{c86b4d8f-d090-4c62-80e5-baa433c107cd}</vt:lpwstr>
  </property>
  <property fmtid="{D5CDD505-2E9C-101B-9397-08002B2CF9AE}" pid="15" name="RecordPoint_RecordNumberSubmitted">
    <vt:lpwstr>EIOPA(2020)0068157</vt:lpwstr>
  </property>
  <property fmtid="{D5CDD505-2E9C-101B-9397-08002B2CF9AE}" pid="16" name="RecordPoint_SubmissionCompleted">
    <vt:lpwstr>2020-11-27T11:05:02.6031811+00:00</vt:lpwstr>
  </property>
</Properties>
</file>